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85ABD" w14:textId="77777777" w:rsidR="004D062F" w:rsidRDefault="00945DEA" w:rsidP="0054170C">
      <w:pPr>
        <w:spacing w:after="0" w:line="240" w:lineRule="auto"/>
        <w:ind w:left="11340" w:hanging="6"/>
        <w:rPr>
          <w:rFonts w:ascii="Times New Roman" w:hAnsi="Times New Roman" w:cs="Times New Roman"/>
          <w:sz w:val="24"/>
          <w:szCs w:val="24"/>
          <w:lang w:eastAsia="en-US"/>
        </w:rPr>
      </w:pPr>
      <w:r w:rsidRPr="00945DEA">
        <w:rPr>
          <w:rFonts w:ascii="Times New Roman" w:hAnsi="Times New Roman" w:cs="Times New Roman"/>
          <w:sz w:val="24"/>
          <w:szCs w:val="24"/>
          <w:lang w:eastAsia="en-US"/>
        </w:rPr>
        <w:t xml:space="preserve">Алматы </w:t>
      </w:r>
      <w:r w:rsidR="004D062F" w:rsidRPr="004D062F">
        <w:rPr>
          <w:rFonts w:ascii="Times New Roman" w:hAnsi="Times New Roman" w:cs="Times New Roman"/>
          <w:sz w:val="24"/>
          <w:szCs w:val="24"/>
          <w:lang w:eastAsia="en-US"/>
        </w:rPr>
        <w:t xml:space="preserve">облысының </w:t>
      </w:r>
    </w:p>
    <w:p w14:paraId="564C01DC" w14:textId="1E205014" w:rsidR="004D062F" w:rsidRDefault="00945DEA" w:rsidP="0054170C">
      <w:pPr>
        <w:spacing w:after="0" w:line="240" w:lineRule="auto"/>
        <w:ind w:left="11340" w:hanging="6"/>
        <w:rPr>
          <w:rFonts w:ascii="Times New Roman" w:hAnsi="Times New Roman" w:cs="Times New Roman"/>
          <w:sz w:val="24"/>
          <w:szCs w:val="24"/>
          <w:lang w:eastAsia="en-US"/>
        </w:rPr>
      </w:pPr>
      <w:r>
        <w:rPr>
          <w:rFonts w:ascii="Times New Roman" w:hAnsi="Times New Roman" w:cs="Times New Roman"/>
          <w:sz w:val="24"/>
          <w:szCs w:val="24"/>
          <w:lang w:eastAsia="en-US"/>
        </w:rPr>
        <w:t xml:space="preserve">Жастар саясаты </w:t>
      </w:r>
      <w:r w:rsidR="004D062F" w:rsidRPr="004D062F">
        <w:rPr>
          <w:rFonts w:ascii="Times New Roman" w:hAnsi="Times New Roman" w:cs="Times New Roman"/>
          <w:sz w:val="24"/>
          <w:szCs w:val="24"/>
          <w:lang w:eastAsia="en-US"/>
        </w:rPr>
        <w:t xml:space="preserve">мәселелері </w:t>
      </w:r>
      <w:r w:rsidR="00F81AFE">
        <w:rPr>
          <w:rFonts w:ascii="Times New Roman" w:hAnsi="Times New Roman" w:cs="Times New Roman"/>
          <w:sz w:val="24"/>
          <w:szCs w:val="24"/>
          <w:lang w:eastAsia="en-US"/>
        </w:rPr>
        <w:t>жөніндегі</w:t>
      </w:r>
    </w:p>
    <w:p w14:paraId="14FF1CC0" w14:textId="3CF02864" w:rsidR="00945DEA" w:rsidRPr="004D062F" w:rsidRDefault="004D062F" w:rsidP="0054170C">
      <w:pPr>
        <w:spacing w:after="0" w:line="240" w:lineRule="auto"/>
        <w:ind w:left="11340" w:hanging="6"/>
        <w:rPr>
          <w:rFonts w:ascii="Times New Roman" w:hAnsi="Times New Roman" w:cs="Times New Roman"/>
          <w:sz w:val="24"/>
          <w:szCs w:val="24"/>
          <w:lang w:eastAsia="en-US"/>
        </w:rPr>
      </w:pPr>
      <w:r>
        <w:rPr>
          <w:rFonts w:ascii="Times New Roman" w:hAnsi="Times New Roman" w:cs="Times New Roman"/>
          <w:sz w:val="24"/>
          <w:szCs w:val="24"/>
          <w:lang w:eastAsia="en-US"/>
        </w:rPr>
        <w:t>басқарма</w:t>
      </w:r>
      <w:r w:rsidRPr="004D062F">
        <w:rPr>
          <w:rFonts w:ascii="Times New Roman" w:hAnsi="Times New Roman" w:cs="Times New Roman"/>
          <w:sz w:val="24"/>
          <w:szCs w:val="24"/>
          <w:lang w:eastAsia="en-US"/>
        </w:rPr>
        <w:t xml:space="preserve"> </w:t>
      </w:r>
      <w:r w:rsidR="00945DEA" w:rsidRPr="004D062F">
        <w:rPr>
          <w:rFonts w:ascii="Times New Roman" w:hAnsi="Times New Roman" w:cs="Times New Roman"/>
          <w:sz w:val="24"/>
          <w:szCs w:val="24"/>
          <w:lang w:eastAsia="en-US"/>
        </w:rPr>
        <w:t>басшысы</w:t>
      </w:r>
      <w:r w:rsidRPr="004D062F">
        <w:rPr>
          <w:rFonts w:ascii="Times New Roman" w:hAnsi="Times New Roman" w:cs="Times New Roman"/>
          <w:sz w:val="24"/>
          <w:szCs w:val="24"/>
          <w:lang w:eastAsia="en-US"/>
        </w:rPr>
        <w:t>ны</w:t>
      </w:r>
      <w:r>
        <w:rPr>
          <w:rFonts w:ascii="Times New Roman" w:hAnsi="Times New Roman" w:cs="Times New Roman"/>
          <w:sz w:val="24"/>
          <w:szCs w:val="24"/>
          <w:lang w:eastAsia="en-US"/>
        </w:rPr>
        <w:t>ң</w:t>
      </w:r>
    </w:p>
    <w:p w14:paraId="6947AD0E" w14:textId="43DC3B7D" w:rsidR="0054170C" w:rsidRPr="0054170C" w:rsidRDefault="0054170C" w:rsidP="0054170C">
      <w:pPr>
        <w:spacing w:after="0" w:line="240" w:lineRule="auto"/>
        <w:ind w:left="11340" w:hanging="6"/>
        <w:rPr>
          <w:rFonts w:ascii="Times New Roman" w:hAnsi="Times New Roman" w:cs="Times New Roman"/>
          <w:sz w:val="24"/>
          <w:szCs w:val="24"/>
          <w:lang w:eastAsia="en-US"/>
        </w:rPr>
      </w:pPr>
      <w:r w:rsidRPr="0054170C">
        <w:rPr>
          <w:rFonts w:ascii="Times New Roman" w:hAnsi="Times New Roman" w:cs="Times New Roman"/>
          <w:sz w:val="24"/>
          <w:szCs w:val="24"/>
          <w:lang w:eastAsia="en-US"/>
        </w:rPr>
        <w:t>2026</w:t>
      </w:r>
      <w:r>
        <w:rPr>
          <w:rFonts w:ascii="Times New Roman" w:hAnsi="Times New Roman" w:cs="Times New Roman"/>
          <w:sz w:val="24"/>
          <w:szCs w:val="24"/>
          <w:lang w:eastAsia="en-US"/>
        </w:rPr>
        <w:t xml:space="preserve"> жылғы </w:t>
      </w:r>
      <w:r w:rsidR="003C5B77">
        <w:rPr>
          <w:rFonts w:ascii="Times New Roman" w:hAnsi="Times New Roman" w:cs="Times New Roman"/>
          <w:sz w:val="24"/>
          <w:szCs w:val="24"/>
          <w:lang w:eastAsia="en-US"/>
        </w:rPr>
        <w:t>«</w:t>
      </w:r>
      <w:r w:rsidR="00651EF1">
        <w:rPr>
          <w:rFonts w:ascii="Times New Roman" w:hAnsi="Times New Roman" w:cs="Times New Roman"/>
          <w:sz w:val="24"/>
          <w:szCs w:val="24"/>
          <w:lang w:val="ru-RU" w:eastAsia="en-US"/>
        </w:rPr>
        <w:t>20</w:t>
      </w:r>
      <w:r w:rsidR="004D062F">
        <w:rPr>
          <w:rFonts w:ascii="Times New Roman" w:hAnsi="Times New Roman" w:cs="Times New Roman"/>
          <w:sz w:val="24"/>
          <w:szCs w:val="24"/>
          <w:lang w:eastAsia="en-US"/>
        </w:rPr>
        <w:t xml:space="preserve">» </w:t>
      </w:r>
      <w:r w:rsidR="004D062F" w:rsidRPr="004D062F">
        <w:rPr>
          <w:rFonts w:ascii="Times New Roman" w:hAnsi="Times New Roman" w:cs="Times New Roman"/>
          <w:sz w:val="24"/>
          <w:szCs w:val="24"/>
          <w:lang w:eastAsia="en-US"/>
        </w:rPr>
        <w:t>мамыр</w:t>
      </w:r>
      <w:r w:rsidR="003C5B77">
        <w:rPr>
          <w:rFonts w:ascii="Times New Roman" w:hAnsi="Times New Roman" w:cs="Times New Roman"/>
          <w:sz w:val="24"/>
          <w:szCs w:val="24"/>
          <w:lang w:eastAsia="en-US"/>
        </w:rPr>
        <w:t xml:space="preserve">дағы </w:t>
      </w:r>
      <w:r w:rsidR="00651EF1">
        <w:rPr>
          <w:rFonts w:ascii="Times New Roman" w:hAnsi="Times New Roman" w:cs="Times New Roman"/>
          <w:sz w:val="24"/>
          <w:szCs w:val="24"/>
          <w:lang w:eastAsia="en-US"/>
        </w:rPr>
        <w:t>№</w:t>
      </w:r>
      <w:r w:rsidR="00651EF1">
        <w:rPr>
          <w:rFonts w:ascii="Times New Roman" w:hAnsi="Times New Roman" w:cs="Times New Roman"/>
          <w:sz w:val="24"/>
          <w:szCs w:val="24"/>
          <w:lang w:val="ru-RU" w:eastAsia="en-US"/>
        </w:rPr>
        <w:t>26</w:t>
      </w:r>
      <w:r w:rsidR="00651EF1">
        <w:rPr>
          <w:rFonts w:ascii="Times New Roman" w:hAnsi="Times New Roman" w:cs="Times New Roman"/>
          <w:sz w:val="24"/>
          <w:szCs w:val="24"/>
          <w:lang w:val="en-US" w:eastAsia="en-US"/>
        </w:rPr>
        <w:t>/1-</w:t>
      </w:r>
      <w:r w:rsidR="00651EF1">
        <w:rPr>
          <w:rFonts w:ascii="Times New Roman" w:hAnsi="Times New Roman" w:cs="Times New Roman"/>
          <w:sz w:val="24"/>
          <w:szCs w:val="24"/>
          <w:lang w:eastAsia="en-US"/>
        </w:rPr>
        <w:t>ж</w:t>
      </w:r>
      <w:r w:rsidR="00651EF1">
        <w:rPr>
          <w:rFonts w:ascii="Times New Roman" w:hAnsi="Times New Roman" w:cs="Times New Roman"/>
          <w:sz w:val="24"/>
          <w:szCs w:val="24"/>
          <w:lang w:val="en-US" w:eastAsia="en-US"/>
        </w:rPr>
        <w:t>/</w:t>
      </w:r>
      <w:r w:rsidR="00651EF1">
        <w:rPr>
          <w:rFonts w:ascii="Times New Roman" w:hAnsi="Times New Roman" w:cs="Times New Roman"/>
          <w:sz w:val="24"/>
          <w:szCs w:val="24"/>
          <w:lang w:eastAsia="en-US"/>
        </w:rPr>
        <w:t xml:space="preserve">қ </w:t>
      </w:r>
      <w:bookmarkStart w:id="0" w:name="_GoBack"/>
      <w:bookmarkEnd w:id="0"/>
      <w:r w:rsidRPr="0054170C">
        <w:rPr>
          <w:rFonts w:ascii="Times New Roman" w:hAnsi="Times New Roman" w:cs="Times New Roman"/>
          <w:sz w:val="24"/>
          <w:szCs w:val="24"/>
          <w:lang w:eastAsia="en-US"/>
        </w:rPr>
        <w:t>бұйрығымен бекітілген</w:t>
      </w:r>
    </w:p>
    <w:p w14:paraId="7627619A" w14:textId="77777777" w:rsidR="004D062F" w:rsidRPr="0054170C" w:rsidRDefault="004D062F" w:rsidP="0054170C">
      <w:pPr>
        <w:rPr>
          <w:rFonts w:ascii="Times New Roman" w:eastAsia="Times New Roman" w:hAnsi="Times New Roman" w:cs="Times New Roman"/>
          <w:b/>
          <w:sz w:val="28"/>
          <w:szCs w:val="28"/>
        </w:rPr>
      </w:pPr>
    </w:p>
    <w:p w14:paraId="52C8A3E2" w14:textId="77777777" w:rsidR="0054170C" w:rsidRPr="0054170C" w:rsidRDefault="0054170C" w:rsidP="0054170C">
      <w:pPr>
        <w:jc w:val="center"/>
        <w:rPr>
          <w:rFonts w:ascii="Times New Roman" w:eastAsia="Times New Roman" w:hAnsi="Times New Roman" w:cs="Times New Roman"/>
          <w:b/>
          <w:sz w:val="24"/>
          <w:szCs w:val="24"/>
        </w:rPr>
      </w:pPr>
      <w:r w:rsidRPr="0054170C">
        <w:rPr>
          <w:rFonts w:ascii="Times New Roman" w:eastAsia="Times New Roman" w:hAnsi="Times New Roman" w:cs="Times New Roman"/>
          <w:b/>
          <w:sz w:val="24"/>
          <w:szCs w:val="24"/>
        </w:rPr>
        <w:t>Үкіметтік емес ұйымдарға арналған мемлекеттік гранттардың 2026 жылға арналған басым бағыттарының тізбесі</w:t>
      </w:r>
    </w:p>
    <w:tbl>
      <w:tblPr>
        <w:tblStyle w:val="a6"/>
        <w:tblW w:w="16239"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336"/>
        <w:gridCol w:w="2127"/>
        <w:gridCol w:w="2680"/>
        <w:gridCol w:w="1362"/>
        <w:gridCol w:w="1212"/>
        <w:gridCol w:w="64"/>
        <w:gridCol w:w="1070"/>
        <w:gridCol w:w="3402"/>
        <w:gridCol w:w="1560"/>
      </w:tblGrid>
      <w:tr w:rsidR="00E22354" w:rsidRPr="00E22354" w14:paraId="0F764B78" w14:textId="07E9083A" w:rsidTr="00AC2980">
        <w:trPr>
          <w:trHeight w:val="525"/>
        </w:trPr>
        <w:tc>
          <w:tcPr>
            <w:tcW w:w="426" w:type="dxa"/>
            <w:shd w:val="clear" w:color="auto" w:fill="D9E2F3" w:themeFill="accent1" w:themeFillTint="33"/>
            <w:vAlign w:val="center"/>
          </w:tcPr>
          <w:p w14:paraId="091AC4F7" w14:textId="77777777" w:rsidR="00E22354" w:rsidRPr="00E22354" w:rsidRDefault="00E22354" w:rsidP="00E22354">
            <w:pPr>
              <w:spacing w:after="0" w:line="276" w:lineRule="auto"/>
              <w:jc w:val="center"/>
              <w:rPr>
                <w:rFonts w:ascii="Times New Roman" w:eastAsia="Times New Roman" w:hAnsi="Times New Roman" w:cs="Times New Roman"/>
                <w:b/>
                <w:bCs/>
                <w:color w:val="000000"/>
                <w:sz w:val="24"/>
                <w:szCs w:val="24"/>
              </w:rPr>
            </w:pPr>
            <w:r w:rsidRPr="00E22354">
              <w:rPr>
                <w:rFonts w:ascii="Times New Roman" w:eastAsia="Times New Roman" w:hAnsi="Times New Roman" w:cs="Times New Roman"/>
                <w:b/>
                <w:bCs/>
                <w:color w:val="000000"/>
                <w:sz w:val="24"/>
                <w:szCs w:val="24"/>
              </w:rPr>
              <w:t>№</w:t>
            </w:r>
          </w:p>
        </w:tc>
        <w:tc>
          <w:tcPr>
            <w:tcW w:w="2336" w:type="dxa"/>
            <w:tcBorders>
              <w:right w:val="single" w:sz="5" w:space="0" w:color="000000"/>
            </w:tcBorders>
            <w:shd w:val="clear" w:color="auto" w:fill="D9E2F3" w:themeFill="accent1" w:themeFillTint="33"/>
            <w:vAlign w:val="center"/>
          </w:tcPr>
          <w:p w14:paraId="6302EA88" w14:textId="1DEA5B36" w:rsidR="00E22354" w:rsidRPr="00E22354" w:rsidRDefault="00E22354" w:rsidP="00E22354">
            <w:pPr>
              <w:spacing w:after="0" w:line="276" w:lineRule="auto"/>
              <w:jc w:val="center"/>
              <w:rPr>
                <w:rFonts w:ascii="Times New Roman" w:eastAsia="Times New Roman" w:hAnsi="Times New Roman" w:cs="Times New Roman"/>
                <w:b/>
                <w:bCs/>
                <w:color w:val="000000"/>
                <w:sz w:val="24"/>
                <w:szCs w:val="24"/>
              </w:rPr>
            </w:pPr>
            <w:r w:rsidRPr="00E22354">
              <w:rPr>
                <w:rFonts w:ascii="Times New Roman" w:eastAsia="Times New Roman" w:hAnsi="Times New Roman" w:cs="Times New Roman"/>
                <w:b/>
                <w:bCs/>
                <w:sz w:val="24"/>
                <w:szCs w:val="24"/>
              </w:rPr>
              <w:t>Заңның 5-бабының 1-бөлігіне сәйкес мемлекеттік грант секторы</w:t>
            </w:r>
          </w:p>
        </w:tc>
        <w:tc>
          <w:tcPr>
            <w:tcW w:w="2127" w:type="dxa"/>
            <w:tcBorders>
              <w:top w:val="single" w:sz="5" w:space="0" w:color="000000"/>
              <w:left w:val="single" w:sz="5" w:space="0" w:color="000000"/>
              <w:bottom w:val="single" w:sz="5" w:space="0" w:color="000000"/>
              <w:right w:val="single" w:sz="5" w:space="0" w:color="000000"/>
            </w:tcBorders>
            <w:shd w:val="clear" w:color="auto" w:fill="D9E2F3" w:themeFill="accent1" w:themeFillTint="33"/>
            <w:tcMar>
              <w:top w:w="15" w:type="dxa"/>
              <w:left w:w="15" w:type="dxa"/>
              <w:bottom w:w="15" w:type="dxa"/>
              <w:right w:w="15" w:type="dxa"/>
            </w:tcMar>
            <w:vAlign w:val="center"/>
          </w:tcPr>
          <w:p w14:paraId="01EC4318" w14:textId="4B1DA288" w:rsidR="00E22354" w:rsidRPr="00E22354" w:rsidRDefault="00E22354" w:rsidP="00E22354">
            <w:pPr>
              <w:spacing w:after="20" w:line="240" w:lineRule="auto"/>
              <w:ind w:left="20"/>
              <w:jc w:val="center"/>
              <w:rPr>
                <w:rFonts w:ascii="Times New Roman" w:eastAsia="Times New Roman" w:hAnsi="Times New Roman" w:cs="Times New Roman"/>
                <w:b/>
                <w:bCs/>
                <w:sz w:val="24"/>
                <w:szCs w:val="24"/>
              </w:rPr>
            </w:pPr>
            <w:r w:rsidRPr="00E22354">
              <w:rPr>
                <w:rFonts w:ascii="Times New Roman" w:eastAsia="Times New Roman" w:hAnsi="Times New Roman" w:cs="Times New Roman"/>
                <w:b/>
                <w:bCs/>
                <w:sz w:val="24"/>
                <w:szCs w:val="24"/>
              </w:rPr>
              <w:t>Мемлекеттік гранттың басым бағыты</w:t>
            </w:r>
          </w:p>
        </w:tc>
        <w:tc>
          <w:tcPr>
            <w:tcW w:w="2680" w:type="dxa"/>
            <w:tcBorders>
              <w:top w:val="single" w:sz="5" w:space="0" w:color="000000"/>
              <w:left w:val="single" w:sz="5" w:space="0" w:color="000000"/>
              <w:bottom w:val="single" w:sz="5" w:space="0" w:color="000000"/>
              <w:right w:val="single" w:sz="5" w:space="0" w:color="000000"/>
            </w:tcBorders>
            <w:shd w:val="clear" w:color="auto" w:fill="D9E2F3" w:themeFill="accent1" w:themeFillTint="33"/>
            <w:tcMar>
              <w:top w:w="15" w:type="dxa"/>
              <w:left w:w="15" w:type="dxa"/>
              <w:bottom w:w="15" w:type="dxa"/>
              <w:right w:w="15" w:type="dxa"/>
            </w:tcMar>
            <w:vAlign w:val="center"/>
          </w:tcPr>
          <w:p w14:paraId="5FD6A178" w14:textId="44A2C56D" w:rsidR="00E22354" w:rsidRPr="00E22354" w:rsidRDefault="00E22354" w:rsidP="00E22354">
            <w:pPr>
              <w:spacing w:after="20" w:line="240" w:lineRule="auto"/>
              <w:ind w:left="20"/>
              <w:jc w:val="center"/>
              <w:rPr>
                <w:rFonts w:ascii="Times New Roman" w:eastAsia="Times New Roman" w:hAnsi="Times New Roman" w:cs="Times New Roman"/>
                <w:b/>
                <w:bCs/>
                <w:sz w:val="24"/>
                <w:szCs w:val="24"/>
              </w:rPr>
            </w:pPr>
            <w:r w:rsidRPr="00E22354">
              <w:rPr>
                <w:rFonts w:ascii="Times New Roman" w:eastAsia="Times New Roman" w:hAnsi="Times New Roman" w:cs="Times New Roman"/>
                <w:b/>
                <w:bCs/>
                <w:sz w:val="24"/>
                <w:szCs w:val="24"/>
              </w:rPr>
              <w:t>Мәселенің қысқаша сипаттамасы</w:t>
            </w:r>
          </w:p>
        </w:tc>
        <w:tc>
          <w:tcPr>
            <w:tcW w:w="1362" w:type="dxa"/>
            <w:tcBorders>
              <w:left w:val="single" w:sz="5" w:space="0" w:color="000000"/>
            </w:tcBorders>
            <w:shd w:val="clear" w:color="auto" w:fill="D9E2F3" w:themeFill="accent1" w:themeFillTint="33"/>
            <w:vAlign w:val="center"/>
          </w:tcPr>
          <w:p w14:paraId="505EC939" w14:textId="77777777" w:rsidR="00E22354" w:rsidRPr="00E22354" w:rsidRDefault="00E22354" w:rsidP="00E22354">
            <w:pPr>
              <w:spacing w:after="0" w:line="276" w:lineRule="auto"/>
              <w:jc w:val="center"/>
              <w:rPr>
                <w:rFonts w:ascii="Times New Roman" w:eastAsia="Times New Roman" w:hAnsi="Times New Roman" w:cs="Times New Roman"/>
                <w:b/>
                <w:bCs/>
                <w:color w:val="000000"/>
                <w:sz w:val="24"/>
                <w:szCs w:val="24"/>
              </w:rPr>
            </w:pPr>
            <w:r w:rsidRPr="00E22354">
              <w:rPr>
                <w:rFonts w:ascii="Times New Roman" w:eastAsia="Times New Roman" w:hAnsi="Times New Roman" w:cs="Times New Roman"/>
                <w:b/>
                <w:bCs/>
                <w:color w:val="000000"/>
                <w:sz w:val="24"/>
                <w:szCs w:val="24"/>
              </w:rPr>
              <w:t>Қаржыландыру көлемі</w:t>
            </w:r>
          </w:p>
          <w:p w14:paraId="47FD69D0" w14:textId="1018BC96" w:rsidR="00E22354" w:rsidRPr="00E22354" w:rsidRDefault="00E22354" w:rsidP="00E22354">
            <w:pPr>
              <w:spacing w:after="0" w:line="276" w:lineRule="auto"/>
              <w:jc w:val="center"/>
              <w:rPr>
                <w:rFonts w:ascii="Times New Roman" w:eastAsia="Times New Roman" w:hAnsi="Times New Roman" w:cs="Times New Roman"/>
                <w:b/>
                <w:bCs/>
                <w:color w:val="000000"/>
                <w:sz w:val="24"/>
                <w:szCs w:val="24"/>
              </w:rPr>
            </w:pPr>
            <w:r w:rsidRPr="00E22354">
              <w:rPr>
                <w:rFonts w:ascii="Times New Roman" w:eastAsia="Times New Roman" w:hAnsi="Times New Roman" w:cs="Times New Roman"/>
                <w:b/>
                <w:bCs/>
                <w:color w:val="000000"/>
                <w:sz w:val="24"/>
                <w:szCs w:val="24"/>
              </w:rPr>
              <w:t xml:space="preserve"> (мың теңге)</w:t>
            </w:r>
          </w:p>
        </w:tc>
        <w:tc>
          <w:tcPr>
            <w:tcW w:w="1212" w:type="dxa"/>
            <w:shd w:val="clear" w:color="auto" w:fill="D9E2F3" w:themeFill="accent1" w:themeFillTint="33"/>
            <w:vAlign w:val="center"/>
          </w:tcPr>
          <w:p w14:paraId="5FD12CA6" w14:textId="6667569A" w:rsidR="00E22354" w:rsidRPr="00E22354" w:rsidRDefault="00E22354" w:rsidP="00E22354">
            <w:pPr>
              <w:spacing w:after="0" w:line="276" w:lineRule="auto"/>
              <w:jc w:val="center"/>
              <w:rPr>
                <w:rFonts w:ascii="Times New Roman" w:eastAsia="Times New Roman" w:hAnsi="Times New Roman" w:cs="Times New Roman"/>
                <w:b/>
                <w:bCs/>
                <w:color w:val="000000"/>
                <w:sz w:val="24"/>
                <w:szCs w:val="24"/>
              </w:rPr>
            </w:pPr>
            <w:r w:rsidRPr="00E22354">
              <w:rPr>
                <w:rFonts w:ascii="Times New Roman" w:hAnsi="Times New Roman" w:cs="Times New Roman"/>
                <w:b/>
                <w:bCs/>
                <w:color w:val="000000"/>
                <w:sz w:val="24"/>
                <w:szCs w:val="24"/>
              </w:rPr>
              <w:t>Грант түрі және іске асыру мерзімі</w:t>
            </w:r>
          </w:p>
        </w:tc>
        <w:tc>
          <w:tcPr>
            <w:tcW w:w="1134" w:type="dxa"/>
            <w:gridSpan w:val="2"/>
            <w:shd w:val="clear" w:color="auto" w:fill="D9E2F3" w:themeFill="accent1" w:themeFillTint="33"/>
            <w:vAlign w:val="center"/>
          </w:tcPr>
          <w:p w14:paraId="25724304" w14:textId="77777777" w:rsidR="00E22354" w:rsidRPr="00E22354" w:rsidRDefault="00E22354" w:rsidP="00E22354">
            <w:pPr>
              <w:pStyle w:val="a9"/>
              <w:spacing w:before="0" w:beforeAutospacing="0" w:after="0" w:afterAutospacing="0"/>
              <w:jc w:val="center"/>
              <w:rPr>
                <w:lang w:val="kk-KZ"/>
              </w:rPr>
            </w:pPr>
            <w:r w:rsidRPr="00E22354">
              <w:rPr>
                <w:b/>
                <w:bCs/>
                <w:color w:val="000000"/>
                <w:lang w:val="kk-KZ"/>
              </w:rPr>
              <w:t>Грантты іске асыру аумағы (осы Қағидалардың 6-тармағына сәйкес)</w:t>
            </w:r>
          </w:p>
          <w:p w14:paraId="7C85E73F" w14:textId="77777777" w:rsidR="00E22354" w:rsidRPr="00E22354" w:rsidRDefault="00E22354" w:rsidP="00E22354">
            <w:pPr>
              <w:spacing w:after="0" w:line="276" w:lineRule="auto"/>
              <w:jc w:val="center"/>
              <w:rPr>
                <w:rFonts w:ascii="Times New Roman" w:eastAsia="Times New Roman" w:hAnsi="Times New Roman" w:cs="Times New Roman"/>
                <w:b/>
                <w:bCs/>
                <w:color w:val="000000"/>
                <w:sz w:val="24"/>
                <w:szCs w:val="24"/>
              </w:rPr>
            </w:pPr>
          </w:p>
        </w:tc>
        <w:tc>
          <w:tcPr>
            <w:tcW w:w="3402" w:type="dxa"/>
            <w:shd w:val="clear" w:color="auto" w:fill="D9E2F3" w:themeFill="accent1" w:themeFillTint="33"/>
            <w:vAlign w:val="center"/>
          </w:tcPr>
          <w:p w14:paraId="76AABF35" w14:textId="05D94DAF" w:rsidR="00E22354" w:rsidRPr="00E22354" w:rsidRDefault="00E22354" w:rsidP="00E22354">
            <w:pPr>
              <w:spacing w:after="0" w:line="276" w:lineRule="auto"/>
              <w:jc w:val="center"/>
              <w:rPr>
                <w:rFonts w:ascii="Times New Roman" w:eastAsia="Times New Roman" w:hAnsi="Times New Roman" w:cs="Times New Roman"/>
                <w:b/>
                <w:bCs/>
                <w:color w:val="000000"/>
                <w:sz w:val="24"/>
                <w:szCs w:val="24"/>
              </w:rPr>
            </w:pPr>
            <w:r w:rsidRPr="00E22354">
              <w:rPr>
                <w:rFonts w:ascii="Times New Roman" w:eastAsia="Times New Roman" w:hAnsi="Times New Roman" w:cs="Times New Roman"/>
                <w:b/>
                <w:bCs/>
                <w:color w:val="000000"/>
                <w:sz w:val="24"/>
                <w:szCs w:val="24"/>
              </w:rPr>
              <w:t>Күтілетін нәтижелер</w:t>
            </w:r>
          </w:p>
        </w:tc>
        <w:tc>
          <w:tcPr>
            <w:tcW w:w="1560" w:type="dxa"/>
            <w:shd w:val="clear" w:color="auto" w:fill="D9E2F3" w:themeFill="accent1" w:themeFillTint="33"/>
          </w:tcPr>
          <w:p w14:paraId="6C171574" w14:textId="77777777" w:rsidR="00E22354" w:rsidRPr="00E22354" w:rsidRDefault="00E22354" w:rsidP="00E22354">
            <w:pPr>
              <w:pStyle w:val="a9"/>
              <w:spacing w:before="0" w:beforeAutospacing="0" w:after="0" w:afterAutospacing="0"/>
              <w:jc w:val="center"/>
              <w:rPr>
                <w:lang w:val="kk-KZ"/>
              </w:rPr>
            </w:pPr>
            <w:r w:rsidRPr="00E22354">
              <w:rPr>
                <w:b/>
                <w:bCs/>
                <w:color w:val="000000"/>
                <w:lang w:val="kk-KZ"/>
              </w:rPr>
              <w:t>Материалдық-техникалық базаға қойылатын талаптар (ұзақ мерзімді гранттарды іске асыру кезінде ғана белгіленеді)</w:t>
            </w:r>
          </w:p>
          <w:p w14:paraId="11ED3D30" w14:textId="77777777" w:rsidR="00E22354" w:rsidRPr="00E22354" w:rsidRDefault="00E22354" w:rsidP="00E22354">
            <w:pPr>
              <w:spacing w:after="0" w:line="276" w:lineRule="auto"/>
              <w:jc w:val="center"/>
              <w:rPr>
                <w:rFonts w:ascii="Times New Roman" w:eastAsia="Times New Roman" w:hAnsi="Times New Roman" w:cs="Times New Roman"/>
                <w:b/>
                <w:bCs/>
                <w:color w:val="000000"/>
                <w:sz w:val="24"/>
                <w:szCs w:val="24"/>
              </w:rPr>
            </w:pPr>
          </w:p>
        </w:tc>
      </w:tr>
      <w:tr w:rsidR="00E22354" w:rsidRPr="00E22354" w14:paraId="1B80BC78" w14:textId="5551230B" w:rsidTr="00AC2980">
        <w:trPr>
          <w:trHeight w:val="525"/>
        </w:trPr>
        <w:tc>
          <w:tcPr>
            <w:tcW w:w="426" w:type="dxa"/>
            <w:shd w:val="clear" w:color="auto" w:fill="auto"/>
            <w:vAlign w:val="center"/>
          </w:tcPr>
          <w:p w14:paraId="2F774FE9" w14:textId="163FFCD7" w:rsidR="00E22354" w:rsidRPr="00845C35" w:rsidRDefault="00E22354" w:rsidP="006421D2">
            <w:pPr>
              <w:spacing w:after="0" w:line="276" w:lineRule="auto"/>
              <w:jc w:val="center"/>
              <w:rPr>
                <w:rFonts w:ascii="Times New Roman" w:eastAsia="Times New Roman" w:hAnsi="Times New Roman" w:cs="Times New Roman"/>
                <w:color w:val="000000"/>
                <w:sz w:val="24"/>
                <w:szCs w:val="24"/>
              </w:rPr>
            </w:pPr>
            <w:r w:rsidRPr="00845C35">
              <w:rPr>
                <w:rFonts w:ascii="Times New Roman" w:eastAsia="Times New Roman" w:hAnsi="Times New Roman" w:cs="Times New Roman"/>
                <w:color w:val="000000"/>
                <w:sz w:val="24"/>
                <w:szCs w:val="24"/>
              </w:rPr>
              <w:t>1</w:t>
            </w:r>
          </w:p>
        </w:tc>
        <w:tc>
          <w:tcPr>
            <w:tcW w:w="2336" w:type="dxa"/>
            <w:shd w:val="clear" w:color="auto" w:fill="auto"/>
            <w:vAlign w:val="center"/>
          </w:tcPr>
          <w:p w14:paraId="0F417BE8" w14:textId="572ABBAC" w:rsidR="00E22354" w:rsidRPr="00845C35" w:rsidRDefault="00945DEA" w:rsidP="006421D2">
            <w:pPr>
              <w:spacing w:after="0" w:line="276" w:lineRule="auto"/>
              <w:jc w:val="center"/>
              <w:rPr>
                <w:rFonts w:ascii="Times New Roman" w:eastAsia="Times New Roman" w:hAnsi="Times New Roman" w:cs="Times New Roman"/>
                <w:sz w:val="24"/>
                <w:szCs w:val="24"/>
              </w:rPr>
            </w:pPr>
            <w:r w:rsidRPr="00845C35">
              <w:rPr>
                <w:rFonts w:ascii="Times New Roman" w:eastAsia="Times New Roman" w:hAnsi="Times New Roman" w:cs="Times New Roman"/>
                <w:sz w:val="24"/>
                <w:szCs w:val="24"/>
              </w:rPr>
              <w:t>Жастар саясаты мен балалар бастамаларын қолдау</w:t>
            </w:r>
          </w:p>
        </w:tc>
        <w:tc>
          <w:tcPr>
            <w:tcW w:w="2127" w:type="dxa"/>
            <w:tcBorders>
              <w:top w:val="single" w:sz="5" w:space="0" w:color="000000"/>
              <w:bottom w:val="single" w:sz="5" w:space="0" w:color="000000"/>
            </w:tcBorders>
            <w:shd w:val="clear" w:color="auto" w:fill="auto"/>
            <w:tcMar>
              <w:top w:w="15" w:type="dxa"/>
              <w:left w:w="15" w:type="dxa"/>
              <w:bottom w:w="15" w:type="dxa"/>
              <w:right w:w="15" w:type="dxa"/>
            </w:tcMar>
            <w:vAlign w:val="center"/>
          </w:tcPr>
          <w:p w14:paraId="5E3B3A16" w14:textId="11E3634F" w:rsidR="00E22354" w:rsidRPr="00845C35" w:rsidRDefault="00945DEA" w:rsidP="006421D2">
            <w:pPr>
              <w:spacing w:after="20" w:line="240" w:lineRule="auto"/>
              <w:ind w:left="20"/>
              <w:jc w:val="center"/>
              <w:rPr>
                <w:rFonts w:ascii="Times New Roman" w:eastAsia="Times New Roman" w:hAnsi="Times New Roman" w:cs="Times New Roman"/>
                <w:sz w:val="24"/>
                <w:szCs w:val="24"/>
              </w:rPr>
            </w:pPr>
            <w:r w:rsidRPr="00845C35">
              <w:rPr>
                <w:rFonts w:ascii="Times New Roman" w:eastAsia="Times New Roman" w:hAnsi="Times New Roman" w:cs="Times New Roman"/>
                <w:sz w:val="24"/>
                <w:szCs w:val="24"/>
              </w:rPr>
              <w:t>Жастар арасында нашақорлықтың, лудоманияның, өз-өзіне қол жұмсаудың және құқық бұзушылықтардың алдын алу</w:t>
            </w:r>
          </w:p>
        </w:tc>
        <w:tc>
          <w:tcPr>
            <w:tcW w:w="2680" w:type="dxa"/>
            <w:tcBorders>
              <w:top w:val="single" w:sz="5" w:space="0" w:color="000000"/>
              <w:bottom w:val="single" w:sz="5" w:space="0" w:color="000000"/>
            </w:tcBorders>
            <w:shd w:val="clear" w:color="auto" w:fill="auto"/>
            <w:tcMar>
              <w:top w:w="15" w:type="dxa"/>
              <w:left w:w="15" w:type="dxa"/>
              <w:bottom w:w="15" w:type="dxa"/>
              <w:right w:w="15" w:type="dxa"/>
            </w:tcMar>
            <w:vAlign w:val="center"/>
          </w:tcPr>
          <w:p w14:paraId="0CEC74A5" w14:textId="77777777" w:rsidR="00945DEA" w:rsidRPr="00845C35" w:rsidRDefault="00945DEA" w:rsidP="00945DEA">
            <w:pPr>
              <w:spacing w:after="20" w:line="240" w:lineRule="auto"/>
              <w:ind w:left="20"/>
              <w:jc w:val="center"/>
              <w:rPr>
                <w:rFonts w:ascii="Times New Roman" w:eastAsia="Times New Roman" w:hAnsi="Times New Roman" w:cs="Times New Roman"/>
                <w:sz w:val="24"/>
                <w:szCs w:val="24"/>
              </w:rPr>
            </w:pPr>
            <w:r w:rsidRPr="00845C35">
              <w:rPr>
                <w:rFonts w:ascii="Times New Roman" w:eastAsia="Times New Roman" w:hAnsi="Times New Roman" w:cs="Times New Roman"/>
                <w:sz w:val="24"/>
                <w:szCs w:val="24"/>
              </w:rPr>
              <w:t xml:space="preserve">Алматы облысында жастар арасында әлеуметтік тәуекелдердің өзектілігі сақталуда. Олар нашақорлықтың, лудоманияның (құмар ойындарға тәуелділіктің), өз-өзіне қол жұмсау мінез-құлқының және құқық бұзушылықтардың таралуымен байланысты. Жүргізіліп жатқан профилактикалық жұмыстарға қарамастан, жастардың бір бөлігі </w:t>
            </w:r>
            <w:r w:rsidRPr="00845C35">
              <w:rPr>
                <w:rFonts w:ascii="Times New Roman" w:eastAsia="Times New Roman" w:hAnsi="Times New Roman" w:cs="Times New Roman"/>
                <w:sz w:val="24"/>
                <w:szCs w:val="24"/>
              </w:rPr>
              <w:lastRenderedPageBreak/>
              <w:t>теріс әлеуметтік ортаның, деструктивті интернет-контенттің ықпалына және тәуелділіктердің салдары туралы ақпараттың жеткіліксіздігіне байланысты осал күйінде қалып отыр.</w:t>
            </w:r>
          </w:p>
          <w:p w14:paraId="664393E3" w14:textId="77777777" w:rsidR="00945DEA" w:rsidRPr="00845C35" w:rsidRDefault="00945DEA" w:rsidP="00945DEA">
            <w:pPr>
              <w:spacing w:after="20" w:line="240" w:lineRule="auto"/>
              <w:ind w:left="20"/>
              <w:jc w:val="center"/>
              <w:rPr>
                <w:rFonts w:ascii="Times New Roman" w:eastAsia="Times New Roman" w:hAnsi="Times New Roman" w:cs="Times New Roman"/>
                <w:sz w:val="24"/>
                <w:szCs w:val="24"/>
              </w:rPr>
            </w:pPr>
          </w:p>
          <w:p w14:paraId="498D6346" w14:textId="77777777" w:rsidR="00945DEA" w:rsidRPr="00845C35" w:rsidRDefault="00945DEA" w:rsidP="00945DEA">
            <w:pPr>
              <w:spacing w:after="20" w:line="240" w:lineRule="auto"/>
              <w:ind w:left="20"/>
              <w:jc w:val="center"/>
              <w:rPr>
                <w:rFonts w:ascii="Times New Roman" w:eastAsia="Times New Roman" w:hAnsi="Times New Roman" w:cs="Times New Roman"/>
                <w:sz w:val="24"/>
                <w:szCs w:val="24"/>
              </w:rPr>
            </w:pPr>
            <w:r w:rsidRPr="00845C35">
              <w:rPr>
                <w:rFonts w:ascii="Times New Roman" w:eastAsia="Times New Roman" w:hAnsi="Times New Roman" w:cs="Times New Roman"/>
                <w:sz w:val="24"/>
                <w:szCs w:val="24"/>
              </w:rPr>
              <w:t>Негізгі мәселелердің бірі – жастардың спорт, білім беру және профилактикалық бағдарламаларды қоса алғанда, жүйелі жұмыспен қамтылу деңгейінің жеткіліксіздігі. Бұл бос уақыттың конструктивті демалыссыз көбеюіне әкеліп, әсіресе тәуекел топтарындағы жасөспірімдер мен жастар арасында асоциалды мінез-құлықтың қалыптасу қаупін арттырады.</w:t>
            </w:r>
          </w:p>
          <w:p w14:paraId="50265F47" w14:textId="77777777" w:rsidR="00945DEA" w:rsidRPr="00845C35" w:rsidRDefault="00945DEA" w:rsidP="00945DEA">
            <w:pPr>
              <w:spacing w:after="20" w:line="240" w:lineRule="auto"/>
              <w:ind w:left="20"/>
              <w:jc w:val="center"/>
              <w:rPr>
                <w:rFonts w:ascii="Times New Roman" w:eastAsia="Times New Roman" w:hAnsi="Times New Roman" w:cs="Times New Roman"/>
                <w:sz w:val="24"/>
                <w:szCs w:val="24"/>
              </w:rPr>
            </w:pPr>
          </w:p>
          <w:p w14:paraId="6B220161" w14:textId="77777777" w:rsidR="00945DEA" w:rsidRPr="00845C35" w:rsidRDefault="00945DEA" w:rsidP="00945DEA">
            <w:pPr>
              <w:spacing w:after="20" w:line="240" w:lineRule="auto"/>
              <w:ind w:left="20"/>
              <w:jc w:val="center"/>
              <w:rPr>
                <w:rFonts w:ascii="Times New Roman" w:eastAsia="Times New Roman" w:hAnsi="Times New Roman" w:cs="Times New Roman"/>
                <w:sz w:val="24"/>
                <w:szCs w:val="24"/>
              </w:rPr>
            </w:pPr>
            <w:r w:rsidRPr="00845C35">
              <w:rPr>
                <w:rFonts w:ascii="Times New Roman" w:eastAsia="Times New Roman" w:hAnsi="Times New Roman" w:cs="Times New Roman"/>
                <w:sz w:val="24"/>
                <w:szCs w:val="24"/>
              </w:rPr>
              <w:t xml:space="preserve">Сондай-ақ құқықтық сауаттылық деңгейінің төмендігі және құқыққа қайшы әрекеттердің салдарын жеткілікті деңгейде түсінбеу мәселесі сақталуда. Қосымша қауіп факторы </w:t>
            </w:r>
            <w:r w:rsidRPr="00845C35">
              <w:rPr>
                <w:rFonts w:ascii="Times New Roman" w:eastAsia="Times New Roman" w:hAnsi="Times New Roman" w:cs="Times New Roman"/>
                <w:sz w:val="24"/>
                <w:szCs w:val="24"/>
              </w:rPr>
              <w:lastRenderedPageBreak/>
              <w:t>ретінде онлайн-ойындар мен құмар ойын платформаларының таралуы, сондай-ақ тыйым салынған заттарды қолдануды насихаттайтын ақпараттың қолжетімділігі байқалады.</w:t>
            </w:r>
          </w:p>
          <w:p w14:paraId="129BD73C" w14:textId="77777777" w:rsidR="00945DEA" w:rsidRPr="00845C35" w:rsidRDefault="00945DEA" w:rsidP="00945DEA">
            <w:pPr>
              <w:spacing w:after="20" w:line="240" w:lineRule="auto"/>
              <w:ind w:left="20"/>
              <w:jc w:val="center"/>
              <w:rPr>
                <w:rFonts w:ascii="Times New Roman" w:eastAsia="Times New Roman" w:hAnsi="Times New Roman" w:cs="Times New Roman"/>
                <w:sz w:val="24"/>
                <w:szCs w:val="24"/>
              </w:rPr>
            </w:pPr>
          </w:p>
          <w:p w14:paraId="7F9CC8F9" w14:textId="77777777" w:rsidR="00945DEA" w:rsidRPr="00845C35" w:rsidRDefault="00945DEA" w:rsidP="00945DEA">
            <w:pPr>
              <w:spacing w:after="20" w:line="240" w:lineRule="auto"/>
              <w:ind w:left="20"/>
              <w:jc w:val="center"/>
              <w:rPr>
                <w:rFonts w:ascii="Times New Roman" w:eastAsia="Times New Roman" w:hAnsi="Times New Roman" w:cs="Times New Roman"/>
                <w:sz w:val="24"/>
                <w:szCs w:val="24"/>
              </w:rPr>
            </w:pPr>
            <w:r w:rsidRPr="00845C35">
              <w:rPr>
                <w:rFonts w:ascii="Times New Roman" w:eastAsia="Times New Roman" w:hAnsi="Times New Roman" w:cs="Times New Roman"/>
                <w:sz w:val="24"/>
                <w:szCs w:val="24"/>
              </w:rPr>
              <w:t>Осыған байланысты жастар арасында тұрақты өмірлік бағдарларды қалыптастыруға, жауапты мінез-құлық дағдыларын дамытуға және бос уақытты тиімді өткізудің баламалы түрлерін кеңейтуге бағытталған кешенді профилактикалық жұмысты күшейту қажет.</w:t>
            </w:r>
          </w:p>
          <w:p w14:paraId="3CD6F0CB" w14:textId="77777777" w:rsidR="00945DEA" w:rsidRPr="00845C35" w:rsidRDefault="00945DEA" w:rsidP="00945DEA">
            <w:pPr>
              <w:spacing w:after="20" w:line="240" w:lineRule="auto"/>
              <w:ind w:left="20"/>
              <w:jc w:val="center"/>
              <w:rPr>
                <w:rFonts w:ascii="Times New Roman" w:eastAsia="Times New Roman" w:hAnsi="Times New Roman" w:cs="Times New Roman"/>
                <w:sz w:val="24"/>
                <w:szCs w:val="24"/>
              </w:rPr>
            </w:pPr>
          </w:p>
          <w:p w14:paraId="213050C9" w14:textId="1CE06ACC" w:rsidR="00E22354" w:rsidRPr="00845C35" w:rsidRDefault="00945DEA" w:rsidP="00945DEA">
            <w:pPr>
              <w:spacing w:after="20" w:line="240" w:lineRule="auto"/>
              <w:ind w:left="20"/>
              <w:jc w:val="center"/>
              <w:rPr>
                <w:rFonts w:ascii="Times New Roman" w:eastAsia="Times New Roman" w:hAnsi="Times New Roman" w:cs="Times New Roman"/>
                <w:sz w:val="24"/>
                <w:szCs w:val="24"/>
              </w:rPr>
            </w:pPr>
            <w:r w:rsidRPr="00845C35">
              <w:rPr>
                <w:rFonts w:ascii="Times New Roman" w:eastAsia="Times New Roman" w:hAnsi="Times New Roman" w:cs="Times New Roman"/>
                <w:sz w:val="24"/>
                <w:szCs w:val="24"/>
              </w:rPr>
              <w:t xml:space="preserve">Қазақстан Республикасының мемлекеттік саясатына сәйкес және Мемлекет басшысы бастамашы болған «Заң және тәртіп» қағидатын іске асыру аясында аталған шаралар жастардың құқықтық санасын нығайтуға, құқық бұзушылықтардың </w:t>
            </w:r>
            <w:r w:rsidRPr="00845C35">
              <w:rPr>
                <w:rFonts w:ascii="Times New Roman" w:eastAsia="Times New Roman" w:hAnsi="Times New Roman" w:cs="Times New Roman"/>
                <w:sz w:val="24"/>
                <w:szCs w:val="24"/>
              </w:rPr>
              <w:lastRenderedPageBreak/>
              <w:t>алдын алуға және әлеуметтік жауапкершілік деңгейін арттыруға бағытталған.</w:t>
            </w:r>
          </w:p>
        </w:tc>
        <w:tc>
          <w:tcPr>
            <w:tcW w:w="1362" w:type="dxa"/>
            <w:shd w:val="clear" w:color="auto" w:fill="auto"/>
            <w:vAlign w:val="center"/>
          </w:tcPr>
          <w:p w14:paraId="5597ECFC" w14:textId="18070A6A" w:rsidR="00E22354" w:rsidRPr="00AC2980" w:rsidRDefault="00AC2980" w:rsidP="006421D2">
            <w:pPr>
              <w:spacing w:after="0" w:line="276" w:lineRule="auto"/>
              <w:jc w:val="center"/>
              <w:rPr>
                <w:rFonts w:ascii="Times New Roman" w:eastAsia="Times New Roman" w:hAnsi="Times New Roman" w:cs="Times New Roman"/>
                <w:color w:val="000000"/>
                <w:sz w:val="24"/>
                <w:szCs w:val="24"/>
              </w:rPr>
            </w:pPr>
            <w:r w:rsidRPr="00AC2980">
              <w:rPr>
                <w:rFonts w:ascii="Times New Roman" w:hAnsi="Times New Roman" w:cs="Times New Roman"/>
              </w:rPr>
              <w:lastRenderedPageBreak/>
              <w:t>7 142 857</w:t>
            </w:r>
            <w:r w:rsidRPr="00AC2980">
              <w:rPr>
                <w:rFonts w:ascii="Times New Roman" w:eastAsia="Times New Roman" w:hAnsi="Times New Roman" w:cs="Times New Roman"/>
                <w:color w:val="000000"/>
                <w:sz w:val="24"/>
                <w:szCs w:val="24"/>
              </w:rPr>
              <w:t xml:space="preserve"> </w:t>
            </w:r>
          </w:p>
        </w:tc>
        <w:tc>
          <w:tcPr>
            <w:tcW w:w="1212" w:type="dxa"/>
            <w:shd w:val="clear" w:color="auto" w:fill="auto"/>
            <w:vAlign w:val="center"/>
          </w:tcPr>
          <w:p w14:paraId="67B8AF03" w14:textId="77777777" w:rsidR="00E22354" w:rsidRPr="00845C35" w:rsidRDefault="00E22354" w:rsidP="006421D2">
            <w:pPr>
              <w:spacing w:after="0" w:line="276" w:lineRule="auto"/>
              <w:jc w:val="center"/>
              <w:rPr>
                <w:rFonts w:ascii="Times New Roman" w:eastAsia="Times New Roman" w:hAnsi="Times New Roman" w:cs="Times New Roman"/>
                <w:sz w:val="24"/>
                <w:szCs w:val="24"/>
              </w:rPr>
            </w:pPr>
            <w:r w:rsidRPr="00845C35">
              <w:rPr>
                <w:rFonts w:ascii="Times New Roman" w:eastAsia="Times New Roman" w:hAnsi="Times New Roman" w:cs="Times New Roman"/>
                <w:sz w:val="24"/>
                <w:szCs w:val="24"/>
              </w:rPr>
              <w:t xml:space="preserve">Қысқа мерзімді  </w:t>
            </w:r>
          </w:p>
          <w:p w14:paraId="406B61B4" w14:textId="120D134D" w:rsidR="00E22354" w:rsidRPr="00845C35" w:rsidRDefault="00E22354" w:rsidP="006421D2">
            <w:pPr>
              <w:spacing w:after="0" w:line="276" w:lineRule="auto"/>
              <w:jc w:val="center"/>
              <w:rPr>
                <w:rFonts w:ascii="Times New Roman" w:eastAsia="Times New Roman" w:hAnsi="Times New Roman" w:cs="Times New Roman"/>
                <w:color w:val="000000"/>
                <w:sz w:val="24"/>
                <w:szCs w:val="24"/>
                <w:lang w:val="ru-RU"/>
              </w:rPr>
            </w:pPr>
            <w:r w:rsidRPr="00845C35">
              <w:rPr>
                <w:rFonts w:ascii="Times New Roman" w:eastAsia="Times New Roman" w:hAnsi="Times New Roman" w:cs="Times New Roman"/>
                <w:sz w:val="24"/>
                <w:szCs w:val="24"/>
              </w:rPr>
              <w:t>1 грант</w:t>
            </w:r>
            <w:r w:rsidRPr="00845C35">
              <w:rPr>
                <w:rFonts w:ascii="Times New Roman" w:eastAsia="Times New Roman" w:hAnsi="Times New Roman" w:cs="Times New Roman"/>
                <w:sz w:val="24"/>
                <w:szCs w:val="24"/>
                <w:lang w:val="ru-RU"/>
              </w:rPr>
              <w:t>, 2026 жыл</w:t>
            </w:r>
          </w:p>
        </w:tc>
        <w:tc>
          <w:tcPr>
            <w:tcW w:w="1134" w:type="dxa"/>
            <w:gridSpan w:val="2"/>
          </w:tcPr>
          <w:p w14:paraId="3EE7647B" w14:textId="73F34257" w:rsidR="00E22354" w:rsidRPr="00845C35" w:rsidRDefault="00945DEA" w:rsidP="008B0232">
            <w:pPr>
              <w:spacing w:after="0" w:line="240" w:lineRule="auto"/>
              <w:jc w:val="both"/>
              <w:rPr>
                <w:rFonts w:ascii="Times New Roman" w:eastAsia="Times New Roman" w:hAnsi="Times New Roman" w:cs="Times New Roman"/>
                <w:b/>
                <w:bCs/>
                <w:sz w:val="24"/>
                <w:szCs w:val="24"/>
              </w:rPr>
            </w:pPr>
            <w:r w:rsidRPr="00845C35">
              <w:rPr>
                <w:rFonts w:ascii="Times New Roman" w:eastAsia="Times New Roman" w:hAnsi="Times New Roman" w:cs="Times New Roman"/>
                <w:sz w:val="24"/>
                <w:szCs w:val="24"/>
                <w:lang w:val="ru-RU"/>
              </w:rPr>
              <w:t>Алматы</w:t>
            </w:r>
            <w:r w:rsidR="00E22354" w:rsidRPr="00845C35">
              <w:rPr>
                <w:rFonts w:ascii="Times New Roman" w:eastAsia="Times New Roman" w:hAnsi="Times New Roman" w:cs="Times New Roman"/>
                <w:sz w:val="24"/>
                <w:szCs w:val="24"/>
              </w:rPr>
              <w:t xml:space="preserve"> облысы</w:t>
            </w:r>
          </w:p>
        </w:tc>
        <w:tc>
          <w:tcPr>
            <w:tcW w:w="3402" w:type="dxa"/>
            <w:shd w:val="clear" w:color="auto" w:fill="auto"/>
            <w:vAlign w:val="bottom"/>
          </w:tcPr>
          <w:p w14:paraId="68F50B7A" w14:textId="38055053" w:rsidR="00E22354" w:rsidRPr="00845C35" w:rsidRDefault="00E22354" w:rsidP="008B0232">
            <w:pPr>
              <w:spacing w:after="0" w:line="240" w:lineRule="auto"/>
              <w:jc w:val="both"/>
              <w:rPr>
                <w:rFonts w:ascii="Times New Roman" w:eastAsia="Times New Roman" w:hAnsi="Times New Roman" w:cs="Times New Roman"/>
                <w:b/>
                <w:bCs/>
                <w:sz w:val="24"/>
                <w:szCs w:val="24"/>
              </w:rPr>
            </w:pPr>
            <w:r w:rsidRPr="00845C35">
              <w:rPr>
                <w:rFonts w:ascii="Times New Roman" w:eastAsia="Times New Roman" w:hAnsi="Times New Roman" w:cs="Times New Roman"/>
                <w:b/>
                <w:bCs/>
                <w:sz w:val="24"/>
                <w:szCs w:val="24"/>
              </w:rPr>
              <w:t>Нысаналы индикатор:</w:t>
            </w:r>
          </w:p>
          <w:p w14:paraId="51B1CDB4" w14:textId="18E289EA" w:rsidR="00945DEA" w:rsidRPr="00845C35" w:rsidRDefault="00945DEA" w:rsidP="00945DEA">
            <w:pPr>
              <w:tabs>
                <w:tab w:val="left" w:pos="593"/>
              </w:tabs>
              <w:spacing w:after="0" w:line="240" w:lineRule="auto"/>
              <w:jc w:val="both"/>
              <w:rPr>
                <w:rFonts w:ascii="Times New Roman" w:eastAsia="Times New Roman" w:hAnsi="Times New Roman" w:cs="Times New Roman"/>
                <w:sz w:val="24"/>
                <w:szCs w:val="24"/>
              </w:rPr>
            </w:pPr>
            <w:r w:rsidRPr="00845C35">
              <w:rPr>
                <w:rFonts w:ascii="Times New Roman" w:eastAsia="Times New Roman" w:hAnsi="Times New Roman" w:cs="Times New Roman"/>
                <w:sz w:val="24"/>
                <w:szCs w:val="24"/>
              </w:rPr>
              <w:t>1</w:t>
            </w:r>
            <w:r w:rsidR="00E22354" w:rsidRPr="00845C35">
              <w:rPr>
                <w:rFonts w:ascii="Times New Roman" w:eastAsia="Times New Roman" w:hAnsi="Times New Roman" w:cs="Times New Roman"/>
                <w:sz w:val="24"/>
                <w:szCs w:val="24"/>
              </w:rPr>
              <w:t>.</w:t>
            </w:r>
            <w:r w:rsidRPr="00845C35">
              <w:rPr>
                <w:rFonts w:ascii="Times New Roman" w:eastAsia="Times New Roman" w:hAnsi="Times New Roman" w:cs="Times New Roman"/>
                <w:sz w:val="24"/>
                <w:szCs w:val="24"/>
              </w:rPr>
              <w:t>Жобаның тікелей қамтылуы: кемінде 5000 адам;</w:t>
            </w:r>
          </w:p>
          <w:p w14:paraId="1E329075" w14:textId="2D2D60FC" w:rsidR="00E22354" w:rsidRPr="00845C35" w:rsidRDefault="00945DEA" w:rsidP="00945DEA">
            <w:pPr>
              <w:tabs>
                <w:tab w:val="left" w:pos="593"/>
              </w:tabs>
              <w:spacing w:after="0" w:line="240" w:lineRule="auto"/>
              <w:jc w:val="both"/>
              <w:rPr>
                <w:rFonts w:ascii="Times New Roman" w:eastAsia="Times New Roman" w:hAnsi="Times New Roman" w:cs="Times New Roman"/>
                <w:sz w:val="24"/>
                <w:szCs w:val="24"/>
              </w:rPr>
            </w:pPr>
            <w:r w:rsidRPr="00845C35">
              <w:rPr>
                <w:rFonts w:ascii="Times New Roman" w:eastAsia="Times New Roman" w:hAnsi="Times New Roman" w:cs="Times New Roman"/>
                <w:sz w:val="24"/>
                <w:szCs w:val="24"/>
              </w:rPr>
              <w:t>Ақпараттық қамту: кемінде 150 000 адам;</w:t>
            </w:r>
          </w:p>
          <w:p w14:paraId="45D198EB" w14:textId="71802DCE" w:rsidR="00945DEA" w:rsidRPr="00845C35" w:rsidRDefault="00945DEA" w:rsidP="00945DEA">
            <w:pPr>
              <w:tabs>
                <w:tab w:val="left" w:pos="593"/>
              </w:tabs>
              <w:spacing w:after="0" w:line="240" w:lineRule="auto"/>
              <w:jc w:val="both"/>
              <w:rPr>
                <w:rFonts w:ascii="Times New Roman" w:eastAsia="Times New Roman" w:hAnsi="Times New Roman" w:cs="Times New Roman"/>
                <w:sz w:val="24"/>
                <w:szCs w:val="24"/>
              </w:rPr>
            </w:pPr>
            <w:r w:rsidRPr="00845C35">
              <w:rPr>
                <w:rFonts w:ascii="Times New Roman" w:eastAsia="Times New Roman" w:hAnsi="Times New Roman" w:cs="Times New Roman"/>
                <w:sz w:val="24"/>
                <w:szCs w:val="24"/>
              </w:rPr>
              <w:t>2.</w:t>
            </w:r>
            <w:r w:rsidRPr="00845C35">
              <w:rPr>
                <w:sz w:val="24"/>
                <w:szCs w:val="24"/>
              </w:rPr>
              <w:t xml:space="preserve"> </w:t>
            </w:r>
            <w:r w:rsidRPr="00845C35">
              <w:rPr>
                <w:rFonts w:ascii="Times New Roman" w:eastAsia="Times New Roman" w:hAnsi="Times New Roman" w:cs="Times New Roman"/>
                <w:sz w:val="24"/>
                <w:szCs w:val="24"/>
              </w:rPr>
              <w:t>Жастардың нашақорлық, лудомания және өз-өзіне қол жұмсау тәуекелдері туралы хабардарлық деңгейін арттыру</w:t>
            </w:r>
            <w:r w:rsidR="004D062F">
              <w:rPr>
                <w:rFonts w:ascii="Times New Roman" w:eastAsia="Times New Roman" w:hAnsi="Times New Roman" w:cs="Times New Roman"/>
                <w:sz w:val="24"/>
                <w:szCs w:val="24"/>
              </w:rPr>
              <w:t xml:space="preserve"> – қатысушылардың кемінде 70%-ы</w:t>
            </w:r>
            <w:r w:rsidR="004D062F" w:rsidRPr="004D062F">
              <w:rPr>
                <w:rFonts w:ascii="Times New Roman" w:eastAsia="Times New Roman" w:hAnsi="Times New Roman" w:cs="Times New Roman"/>
                <w:sz w:val="24"/>
                <w:szCs w:val="24"/>
              </w:rPr>
              <w:t xml:space="preserve"> </w:t>
            </w:r>
            <w:r w:rsidRPr="004D062F">
              <w:rPr>
                <w:rFonts w:ascii="Times New Roman" w:eastAsia="Times New Roman" w:hAnsi="Times New Roman" w:cs="Times New Roman"/>
                <w:i/>
                <w:sz w:val="24"/>
                <w:szCs w:val="24"/>
              </w:rPr>
              <w:t>(сауалнама қорытындысы бойынша).</w:t>
            </w:r>
          </w:p>
          <w:p w14:paraId="736F24D4" w14:textId="77777777" w:rsidR="00E22354" w:rsidRPr="00845C35" w:rsidRDefault="00E22354" w:rsidP="00222646">
            <w:pPr>
              <w:pStyle w:val="a8"/>
              <w:tabs>
                <w:tab w:val="left" w:pos="593"/>
              </w:tabs>
              <w:spacing w:after="0" w:line="240" w:lineRule="auto"/>
              <w:ind w:left="310"/>
              <w:jc w:val="both"/>
              <w:rPr>
                <w:rFonts w:ascii="Times New Roman" w:eastAsia="Times New Roman" w:hAnsi="Times New Roman" w:cs="Times New Roman"/>
                <w:sz w:val="24"/>
                <w:szCs w:val="24"/>
              </w:rPr>
            </w:pPr>
          </w:p>
          <w:p w14:paraId="2DF4F118" w14:textId="4B7E9ED3" w:rsidR="00E22354" w:rsidRPr="00845C35" w:rsidRDefault="00E22354" w:rsidP="008B0232">
            <w:pPr>
              <w:spacing w:after="0" w:line="240" w:lineRule="auto"/>
              <w:jc w:val="both"/>
              <w:rPr>
                <w:rFonts w:ascii="Times New Roman" w:eastAsia="Times New Roman" w:hAnsi="Times New Roman" w:cs="Times New Roman"/>
                <w:b/>
                <w:bCs/>
                <w:sz w:val="24"/>
                <w:szCs w:val="24"/>
              </w:rPr>
            </w:pPr>
            <w:r w:rsidRPr="00845C35">
              <w:rPr>
                <w:rFonts w:ascii="Times New Roman" w:eastAsia="Times New Roman" w:hAnsi="Times New Roman" w:cs="Times New Roman"/>
                <w:b/>
                <w:bCs/>
                <w:sz w:val="24"/>
                <w:szCs w:val="24"/>
              </w:rPr>
              <w:t>Күтілетін нәтижелер:</w:t>
            </w:r>
          </w:p>
          <w:p w14:paraId="7938D180" w14:textId="6200CCA6" w:rsidR="00945DEA" w:rsidRPr="00845C35" w:rsidRDefault="00945DEA" w:rsidP="00945DEA">
            <w:pPr>
              <w:tabs>
                <w:tab w:val="left" w:pos="533"/>
              </w:tabs>
              <w:spacing w:after="0" w:line="240" w:lineRule="auto"/>
              <w:jc w:val="both"/>
              <w:rPr>
                <w:rFonts w:ascii="Times New Roman" w:eastAsia="Times New Roman" w:hAnsi="Times New Roman" w:cs="Times New Roman"/>
                <w:color w:val="000000"/>
                <w:sz w:val="24"/>
                <w:szCs w:val="24"/>
              </w:rPr>
            </w:pPr>
            <w:r w:rsidRPr="00845C35">
              <w:rPr>
                <w:rFonts w:ascii="Times New Roman" w:eastAsia="Times New Roman" w:hAnsi="Times New Roman" w:cs="Times New Roman"/>
                <w:color w:val="000000"/>
                <w:sz w:val="24"/>
                <w:szCs w:val="24"/>
              </w:rPr>
              <w:t xml:space="preserve">1.Нашақорлықтың, лудоманияның, өз-өзіне қол </w:t>
            </w:r>
            <w:r w:rsidRPr="00845C35">
              <w:rPr>
                <w:rFonts w:ascii="Times New Roman" w:eastAsia="Times New Roman" w:hAnsi="Times New Roman" w:cs="Times New Roman"/>
                <w:color w:val="000000"/>
                <w:sz w:val="24"/>
                <w:szCs w:val="24"/>
              </w:rPr>
              <w:lastRenderedPageBreak/>
              <w:t>жұмсаудың және құқық бұзушылықтардың алдын алу мәселелері бойынша жастардың, студенттердің, ата-аналардың және педагогтардың қатысуымен кемінде 1000 адамды қамти отырып, 15 семинар ұйымдастыру және өткізу;</w:t>
            </w:r>
          </w:p>
          <w:p w14:paraId="13CA05C0" w14:textId="048E4BDB" w:rsidR="00945DEA" w:rsidRPr="00845C35" w:rsidRDefault="00945DEA" w:rsidP="00945DEA">
            <w:pPr>
              <w:tabs>
                <w:tab w:val="left" w:pos="533"/>
              </w:tabs>
              <w:spacing w:after="0" w:line="240" w:lineRule="auto"/>
              <w:jc w:val="both"/>
              <w:rPr>
                <w:rFonts w:ascii="Times New Roman" w:eastAsia="Times New Roman" w:hAnsi="Times New Roman" w:cs="Times New Roman"/>
                <w:color w:val="000000"/>
                <w:sz w:val="24"/>
                <w:szCs w:val="24"/>
              </w:rPr>
            </w:pPr>
            <w:r w:rsidRPr="00845C35">
              <w:rPr>
                <w:rFonts w:ascii="Times New Roman" w:eastAsia="Times New Roman" w:hAnsi="Times New Roman" w:cs="Times New Roman"/>
                <w:color w:val="000000"/>
                <w:sz w:val="24"/>
                <w:szCs w:val="24"/>
              </w:rPr>
              <w:t>2.Құқық қорғау органдарының өкілдерімен және қоғам қайраткерлерімен бірлесіп, түнгі уақытта жоғары тәуекел аймақтарында (түнгі клубтар, интернет-кафелер, ойын залдары және өзге де орындар) кемінде 20 профилактикалық іс-шара өткізу, түсіндіру жұмыстарын жүргізу және кемінде 200 адамды тікелей қамту;</w:t>
            </w:r>
          </w:p>
          <w:p w14:paraId="7A556E7C" w14:textId="44EE4A9F" w:rsidR="00945DEA" w:rsidRPr="00845C35" w:rsidRDefault="00945DEA" w:rsidP="00945DEA">
            <w:pPr>
              <w:tabs>
                <w:tab w:val="left" w:pos="533"/>
              </w:tabs>
              <w:spacing w:after="0" w:line="240" w:lineRule="auto"/>
              <w:jc w:val="both"/>
              <w:rPr>
                <w:rFonts w:ascii="Times New Roman" w:eastAsia="Times New Roman" w:hAnsi="Times New Roman" w:cs="Times New Roman"/>
                <w:color w:val="000000"/>
                <w:sz w:val="24"/>
                <w:szCs w:val="24"/>
              </w:rPr>
            </w:pPr>
            <w:r w:rsidRPr="00845C35">
              <w:rPr>
                <w:rFonts w:ascii="Times New Roman" w:eastAsia="Times New Roman" w:hAnsi="Times New Roman" w:cs="Times New Roman"/>
                <w:color w:val="000000"/>
                <w:sz w:val="24"/>
                <w:szCs w:val="24"/>
              </w:rPr>
              <w:t>3.Жастарды тарту арқылы бос уақытты тиімді ұйымдастырудың баламалы нысаны және девиантты мінез-құлықтың алдын алу ретінде кемінде 1</w:t>
            </w:r>
            <w:r w:rsidR="00B96034">
              <w:rPr>
                <w:rFonts w:ascii="Times New Roman" w:eastAsia="Times New Roman" w:hAnsi="Times New Roman" w:cs="Times New Roman"/>
                <w:color w:val="000000"/>
                <w:sz w:val="24"/>
                <w:szCs w:val="24"/>
              </w:rPr>
              <w:t>0</w:t>
            </w:r>
            <w:r w:rsidRPr="00845C35">
              <w:rPr>
                <w:rFonts w:ascii="Times New Roman" w:eastAsia="Times New Roman" w:hAnsi="Times New Roman" w:cs="Times New Roman"/>
                <w:color w:val="000000"/>
                <w:sz w:val="24"/>
                <w:szCs w:val="24"/>
              </w:rPr>
              <w:t xml:space="preserve"> спорттық іс-шара (спартакиадалар мен марафондар) ұйымдастыру, кемінде 1500 адамды тікелей қамту;</w:t>
            </w:r>
          </w:p>
          <w:p w14:paraId="7B644777" w14:textId="545EE5CC" w:rsidR="00945DEA" w:rsidRPr="00845C35" w:rsidRDefault="00945DEA" w:rsidP="00945DEA">
            <w:pPr>
              <w:tabs>
                <w:tab w:val="left" w:pos="533"/>
              </w:tabs>
              <w:spacing w:after="0" w:line="240" w:lineRule="auto"/>
              <w:jc w:val="both"/>
              <w:rPr>
                <w:rFonts w:ascii="Times New Roman" w:eastAsia="Times New Roman" w:hAnsi="Times New Roman" w:cs="Times New Roman"/>
                <w:color w:val="000000"/>
                <w:sz w:val="24"/>
                <w:szCs w:val="24"/>
              </w:rPr>
            </w:pPr>
            <w:r w:rsidRPr="00845C35">
              <w:rPr>
                <w:rFonts w:ascii="Times New Roman" w:eastAsia="Times New Roman" w:hAnsi="Times New Roman" w:cs="Times New Roman"/>
                <w:color w:val="000000"/>
                <w:sz w:val="24"/>
                <w:szCs w:val="24"/>
              </w:rPr>
              <w:t>4.Тәуекел топтарындағы кемінде 30 жас өкілімен жеке профилактикалық және психологиялық жұмыс жүргізу;</w:t>
            </w:r>
          </w:p>
          <w:p w14:paraId="39FB506B" w14:textId="463CEEDE" w:rsidR="00945DEA" w:rsidRPr="00845C35" w:rsidRDefault="00945DEA" w:rsidP="00945DEA">
            <w:pPr>
              <w:tabs>
                <w:tab w:val="left" w:pos="533"/>
              </w:tabs>
              <w:spacing w:after="0" w:line="240" w:lineRule="auto"/>
              <w:jc w:val="both"/>
              <w:rPr>
                <w:rFonts w:ascii="Times New Roman" w:eastAsia="Times New Roman" w:hAnsi="Times New Roman" w:cs="Times New Roman"/>
                <w:color w:val="000000"/>
                <w:sz w:val="24"/>
                <w:szCs w:val="24"/>
              </w:rPr>
            </w:pPr>
            <w:r w:rsidRPr="00845C35">
              <w:rPr>
                <w:rFonts w:ascii="Times New Roman" w:eastAsia="Times New Roman" w:hAnsi="Times New Roman" w:cs="Times New Roman"/>
                <w:color w:val="000000"/>
                <w:sz w:val="24"/>
                <w:szCs w:val="24"/>
              </w:rPr>
              <w:t xml:space="preserve">5.Тәуелділіктер мен құқық бұзушылықтарға теріс </w:t>
            </w:r>
            <w:r w:rsidRPr="00845C35">
              <w:rPr>
                <w:rFonts w:ascii="Times New Roman" w:eastAsia="Times New Roman" w:hAnsi="Times New Roman" w:cs="Times New Roman"/>
                <w:color w:val="000000"/>
                <w:sz w:val="24"/>
                <w:szCs w:val="24"/>
              </w:rPr>
              <w:lastRenderedPageBreak/>
              <w:t>көзқарас қалыптастыруға бағытталған кемінде 6 профилактикалық бейнеролик әзірлеу және тарату;</w:t>
            </w:r>
          </w:p>
          <w:p w14:paraId="66B57F2B" w14:textId="2143EF38" w:rsidR="00945DEA" w:rsidRPr="00845C35" w:rsidRDefault="00945DEA" w:rsidP="00945DEA">
            <w:pPr>
              <w:tabs>
                <w:tab w:val="left" w:pos="533"/>
              </w:tabs>
              <w:spacing w:after="0" w:line="240" w:lineRule="auto"/>
              <w:jc w:val="both"/>
              <w:rPr>
                <w:rFonts w:ascii="Times New Roman" w:eastAsia="Times New Roman" w:hAnsi="Times New Roman" w:cs="Times New Roman"/>
                <w:color w:val="000000"/>
                <w:sz w:val="24"/>
                <w:szCs w:val="24"/>
              </w:rPr>
            </w:pPr>
            <w:r w:rsidRPr="00845C35">
              <w:rPr>
                <w:rFonts w:ascii="Times New Roman" w:eastAsia="Times New Roman" w:hAnsi="Times New Roman" w:cs="Times New Roman"/>
                <w:color w:val="000000"/>
                <w:sz w:val="24"/>
                <w:szCs w:val="24"/>
              </w:rPr>
              <w:t>6.Жобаның нәтижелерін таныстыру және ұсынымдар әзірлеу мақсатында мүдделі мемлекеттік органдардың, ҮЕҰ және сарапшылардың қатысуымен қорытынды дөңгелек үстел өткізу;</w:t>
            </w:r>
          </w:p>
          <w:p w14:paraId="72900E47" w14:textId="32653818" w:rsidR="00E22354" w:rsidRPr="00845C35" w:rsidRDefault="00945DEA" w:rsidP="00945DEA">
            <w:pPr>
              <w:tabs>
                <w:tab w:val="left" w:pos="533"/>
              </w:tabs>
              <w:spacing w:after="0" w:line="240" w:lineRule="auto"/>
              <w:jc w:val="both"/>
              <w:rPr>
                <w:rFonts w:ascii="Times New Roman" w:eastAsia="Times New Roman" w:hAnsi="Times New Roman" w:cs="Times New Roman"/>
                <w:color w:val="000000"/>
                <w:sz w:val="24"/>
                <w:szCs w:val="24"/>
              </w:rPr>
            </w:pPr>
            <w:r w:rsidRPr="00845C35">
              <w:rPr>
                <w:rFonts w:ascii="Times New Roman" w:eastAsia="Times New Roman" w:hAnsi="Times New Roman" w:cs="Times New Roman"/>
                <w:color w:val="000000"/>
                <w:sz w:val="24"/>
                <w:szCs w:val="24"/>
              </w:rPr>
              <w:t>7.Жобаны ақпараттық сүйемелдеуді қамтамасыз ету (кемінде 150 000 адамды қамту), сондай-ақ жобаны жариялау үшін кемінде 7 (жеті) өңірлік және 5 (бес) республикалық бұқаралық ақпарат құралдарын тарту.</w:t>
            </w:r>
          </w:p>
        </w:tc>
        <w:tc>
          <w:tcPr>
            <w:tcW w:w="1560" w:type="dxa"/>
          </w:tcPr>
          <w:p w14:paraId="24BA3736" w14:textId="77777777" w:rsidR="00E22354" w:rsidRPr="00E22354" w:rsidRDefault="00E22354" w:rsidP="008B0232">
            <w:pPr>
              <w:spacing w:after="0" w:line="240" w:lineRule="auto"/>
              <w:jc w:val="both"/>
              <w:rPr>
                <w:rFonts w:ascii="Times New Roman" w:eastAsia="Times New Roman" w:hAnsi="Times New Roman" w:cs="Times New Roman"/>
                <w:b/>
                <w:bCs/>
                <w:sz w:val="24"/>
                <w:szCs w:val="24"/>
              </w:rPr>
            </w:pPr>
          </w:p>
        </w:tc>
      </w:tr>
      <w:tr w:rsidR="00E22354" w:rsidRPr="00E22354" w14:paraId="72D0684D" w14:textId="16E4E0C5" w:rsidTr="00AC2980">
        <w:trPr>
          <w:trHeight w:val="525"/>
        </w:trPr>
        <w:tc>
          <w:tcPr>
            <w:tcW w:w="426" w:type="dxa"/>
            <w:shd w:val="clear" w:color="auto" w:fill="auto"/>
            <w:vAlign w:val="center"/>
          </w:tcPr>
          <w:p w14:paraId="782F311A" w14:textId="403E5180" w:rsidR="00E22354" w:rsidRPr="00845C35" w:rsidRDefault="00E22354" w:rsidP="00E22354">
            <w:pPr>
              <w:spacing w:after="0" w:line="276" w:lineRule="auto"/>
              <w:jc w:val="center"/>
              <w:rPr>
                <w:rFonts w:ascii="Times New Roman" w:eastAsia="Times New Roman" w:hAnsi="Times New Roman" w:cs="Times New Roman"/>
                <w:color w:val="000000"/>
                <w:sz w:val="24"/>
                <w:szCs w:val="24"/>
              </w:rPr>
            </w:pPr>
            <w:r w:rsidRPr="00845C35">
              <w:rPr>
                <w:rFonts w:ascii="Times New Roman" w:eastAsia="Times New Roman" w:hAnsi="Times New Roman" w:cs="Times New Roman"/>
                <w:color w:val="000000"/>
                <w:sz w:val="24"/>
                <w:szCs w:val="24"/>
              </w:rPr>
              <w:lastRenderedPageBreak/>
              <w:t>2</w:t>
            </w:r>
          </w:p>
        </w:tc>
        <w:tc>
          <w:tcPr>
            <w:tcW w:w="2336" w:type="dxa"/>
            <w:shd w:val="clear" w:color="auto" w:fill="auto"/>
          </w:tcPr>
          <w:p w14:paraId="457B98DF" w14:textId="737D5C67" w:rsidR="00E22354" w:rsidRPr="00845C35" w:rsidRDefault="00945DEA" w:rsidP="00E22354">
            <w:pPr>
              <w:spacing w:after="0" w:line="276" w:lineRule="auto"/>
              <w:jc w:val="center"/>
              <w:rPr>
                <w:rFonts w:ascii="Times New Roman" w:eastAsia="Times New Roman" w:hAnsi="Times New Roman" w:cs="Times New Roman"/>
                <w:sz w:val="24"/>
                <w:szCs w:val="24"/>
              </w:rPr>
            </w:pPr>
            <w:r w:rsidRPr="00845C35">
              <w:rPr>
                <w:rFonts w:ascii="Times New Roman" w:eastAsia="Times New Roman" w:hAnsi="Times New Roman" w:cs="Times New Roman"/>
                <w:sz w:val="24"/>
                <w:szCs w:val="24"/>
              </w:rPr>
              <w:t>Жастар саясаты мен балалар бастамаларын қолдау</w:t>
            </w:r>
          </w:p>
        </w:tc>
        <w:tc>
          <w:tcPr>
            <w:tcW w:w="2127" w:type="dxa"/>
            <w:tcBorders>
              <w:top w:val="single" w:sz="5" w:space="0" w:color="000000"/>
              <w:bottom w:val="single" w:sz="5" w:space="0" w:color="000000"/>
            </w:tcBorders>
            <w:shd w:val="clear" w:color="auto" w:fill="auto"/>
            <w:tcMar>
              <w:top w:w="15" w:type="dxa"/>
              <w:left w:w="15" w:type="dxa"/>
              <w:bottom w:w="15" w:type="dxa"/>
              <w:right w:w="15" w:type="dxa"/>
            </w:tcMar>
          </w:tcPr>
          <w:p w14:paraId="31A4888A" w14:textId="65C270D9" w:rsidR="00E22354" w:rsidRPr="00845C35" w:rsidRDefault="00945DEA" w:rsidP="00E22354">
            <w:pPr>
              <w:spacing w:after="20" w:line="240" w:lineRule="auto"/>
              <w:ind w:left="20"/>
              <w:jc w:val="center"/>
              <w:rPr>
                <w:rFonts w:ascii="Times New Roman" w:eastAsia="Times New Roman" w:hAnsi="Times New Roman" w:cs="Times New Roman"/>
                <w:sz w:val="24"/>
                <w:szCs w:val="24"/>
              </w:rPr>
            </w:pPr>
            <w:r w:rsidRPr="00845C35">
              <w:rPr>
                <w:rFonts w:ascii="Times New Roman" w:eastAsia="Times New Roman" w:hAnsi="Times New Roman" w:cs="Times New Roman"/>
                <w:sz w:val="24"/>
                <w:szCs w:val="24"/>
              </w:rPr>
              <w:t>Волонтерлік қозғалысты дамыту және волонтерлердің фронт-офисінің қызметін ұйымдастыру</w:t>
            </w:r>
          </w:p>
        </w:tc>
        <w:tc>
          <w:tcPr>
            <w:tcW w:w="2680" w:type="dxa"/>
            <w:tcBorders>
              <w:top w:val="single" w:sz="5" w:space="0" w:color="000000"/>
              <w:bottom w:val="single" w:sz="5" w:space="0" w:color="000000"/>
            </w:tcBorders>
            <w:shd w:val="clear" w:color="auto" w:fill="auto"/>
            <w:tcMar>
              <w:top w:w="15" w:type="dxa"/>
              <w:left w:w="15" w:type="dxa"/>
              <w:bottom w:w="15" w:type="dxa"/>
              <w:right w:w="15" w:type="dxa"/>
            </w:tcMar>
          </w:tcPr>
          <w:p w14:paraId="09691EC6" w14:textId="71409562" w:rsidR="00945DEA" w:rsidRPr="00845C35" w:rsidRDefault="00945DEA" w:rsidP="00945DEA">
            <w:pPr>
              <w:spacing w:after="20" w:line="240" w:lineRule="auto"/>
              <w:ind w:left="20"/>
              <w:jc w:val="center"/>
              <w:rPr>
                <w:rFonts w:ascii="Times New Roman" w:eastAsia="Times New Roman" w:hAnsi="Times New Roman" w:cs="Times New Roman"/>
                <w:sz w:val="24"/>
                <w:szCs w:val="24"/>
              </w:rPr>
            </w:pPr>
            <w:r w:rsidRPr="00845C35">
              <w:rPr>
                <w:rFonts w:ascii="Times New Roman" w:eastAsia="Times New Roman" w:hAnsi="Times New Roman" w:cs="Times New Roman"/>
                <w:sz w:val="24"/>
                <w:szCs w:val="24"/>
              </w:rPr>
              <w:t xml:space="preserve">2026 жылы Алматы облысында волонтерлік қозғалысты дамыту бірқатар жүйелі шектеулерге тап болуда. </w:t>
            </w:r>
            <w:r w:rsidR="00A21250" w:rsidRPr="00A21250">
              <w:rPr>
                <w:rFonts w:ascii="Times New Roman" w:hAnsi="Times New Roman" w:cs="Times New Roman"/>
                <w:sz w:val="24"/>
                <w:szCs w:val="24"/>
              </w:rPr>
              <w:t>Бірыңғай үйлестіру орталығының және тұрақты инфрақұрылымның болмауы бастамалардың жүйесіз жүзеге асырылуына әкеліп, волонтерлер, ұйымдар және мемлекеттік құрылымдар арасындағы өзара іс-қимылдың тиімділігін төмендетеді</w:t>
            </w:r>
            <w:r w:rsidR="00A21250">
              <w:t>.</w:t>
            </w:r>
          </w:p>
          <w:p w14:paraId="20CE45A2" w14:textId="77777777" w:rsidR="00945DEA" w:rsidRPr="00AC2980" w:rsidRDefault="00945DEA" w:rsidP="00945DEA">
            <w:pPr>
              <w:spacing w:after="20" w:line="240" w:lineRule="auto"/>
              <w:ind w:left="20"/>
              <w:jc w:val="center"/>
              <w:rPr>
                <w:rFonts w:ascii="Times New Roman" w:eastAsia="Times New Roman" w:hAnsi="Times New Roman" w:cs="Times New Roman"/>
                <w:sz w:val="24"/>
                <w:szCs w:val="24"/>
              </w:rPr>
            </w:pPr>
            <w:r w:rsidRPr="00AC2980">
              <w:rPr>
                <w:rFonts w:ascii="Times New Roman" w:eastAsia="Times New Roman" w:hAnsi="Times New Roman" w:cs="Times New Roman"/>
                <w:sz w:val="24"/>
                <w:szCs w:val="24"/>
              </w:rPr>
              <w:t xml:space="preserve">Волонтерлерді есепке алу және сүйемелдеу тетіктері, соның ішінде өзекті бірыңғай базаның болмауы жеткілікті деңгейде дамымаған, бұл оларды тарту мен үйлестіруді қиындатады. Жастардың, әсіресе ауылдық жерлердегі қатысу деңгейі ақпараттандырудың жеткіліксіздігі мен волонтерлік қызметтің әлсіз насихатталуы </w:t>
            </w:r>
            <w:r w:rsidRPr="00AC2980">
              <w:rPr>
                <w:rFonts w:ascii="Times New Roman" w:eastAsia="Times New Roman" w:hAnsi="Times New Roman" w:cs="Times New Roman"/>
                <w:sz w:val="24"/>
                <w:szCs w:val="24"/>
              </w:rPr>
              <w:lastRenderedPageBreak/>
              <w:t>салдарынан шектеулі болып отыр.</w:t>
            </w:r>
          </w:p>
          <w:p w14:paraId="24521811" w14:textId="77777777" w:rsidR="00945DEA" w:rsidRPr="00AC2980" w:rsidRDefault="00945DEA" w:rsidP="00945DEA">
            <w:pPr>
              <w:spacing w:after="20" w:line="240" w:lineRule="auto"/>
              <w:ind w:left="20"/>
              <w:jc w:val="center"/>
              <w:rPr>
                <w:rFonts w:ascii="Times New Roman" w:eastAsia="Times New Roman" w:hAnsi="Times New Roman" w:cs="Times New Roman"/>
                <w:sz w:val="24"/>
                <w:szCs w:val="24"/>
              </w:rPr>
            </w:pPr>
          </w:p>
          <w:p w14:paraId="7C721133" w14:textId="77777777" w:rsidR="00945DEA" w:rsidRPr="00AC2980" w:rsidRDefault="00945DEA" w:rsidP="00945DEA">
            <w:pPr>
              <w:spacing w:after="20" w:line="240" w:lineRule="auto"/>
              <w:ind w:left="20"/>
              <w:jc w:val="center"/>
              <w:rPr>
                <w:rFonts w:ascii="Times New Roman" w:eastAsia="Times New Roman" w:hAnsi="Times New Roman" w:cs="Times New Roman"/>
                <w:sz w:val="24"/>
                <w:szCs w:val="24"/>
              </w:rPr>
            </w:pPr>
            <w:r w:rsidRPr="00AC2980">
              <w:rPr>
                <w:rFonts w:ascii="Times New Roman" w:eastAsia="Times New Roman" w:hAnsi="Times New Roman" w:cs="Times New Roman"/>
                <w:sz w:val="24"/>
                <w:szCs w:val="24"/>
              </w:rPr>
              <w:t>Сонымен қатар, жүйелі оқыту және тәжірибеге бағытталған алаңдардың жетіспеушілігі байқалады, бұл волонтерлік бастамаларды іске асыру сапасына әсер етеді.</w:t>
            </w:r>
          </w:p>
          <w:p w14:paraId="3F0AC73D" w14:textId="77777777" w:rsidR="00945DEA" w:rsidRPr="00AC2980" w:rsidRDefault="00945DEA" w:rsidP="00945DEA">
            <w:pPr>
              <w:spacing w:after="20" w:line="240" w:lineRule="auto"/>
              <w:ind w:left="20"/>
              <w:jc w:val="center"/>
              <w:rPr>
                <w:rFonts w:ascii="Times New Roman" w:eastAsia="Times New Roman" w:hAnsi="Times New Roman" w:cs="Times New Roman"/>
                <w:sz w:val="24"/>
                <w:szCs w:val="24"/>
              </w:rPr>
            </w:pPr>
          </w:p>
          <w:p w14:paraId="1016F4B2" w14:textId="1B8A56CA" w:rsidR="00E22354" w:rsidRPr="00AC2980" w:rsidRDefault="00945DEA" w:rsidP="00945DEA">
            <w:pPr>
              <w:spacing w:after="20" w:line="240" w:lineRule="auto"/>
              <w:ind w:left="20"/>
              <w:jc w:val="center"/>
              <w:rPr>
                <w:rFonts w:ascii="Times New Roman" w:eastAsia="Times New Roman" w:hAnsi="Times New Roman" w:cs="Times New Roman"/>
                <w:sz w:val="24"/>
                <w:szCs w:val="24"/>
              </w:rPr>
            </w:pPr>
            <w:r w:rsidRPr="00AC2980">
              <w:rPr>
                <w:rFonts w:ascii="Times New Roman" w:eastAsia="Times New Roman" w:hAnsi="Times New Roman" w:cs="Times New Roman"/>
                <w:sz w:val="24"/>
                <w:szCs w:val="24"/>
              </w:rPr>
              <w:t>Осыған байланысты волонтерлік қызметке жастардың қатысуын кеңейтуге, құзыреттерін дамытуға және үйлестірудің тұрақты жүйесін қалыптастыруға бағытталған кешенді тәсіл қажет.</w:t>
            </w:r>
          </w:p>
        </w:tc>
        <w:tc>
          <w:tcPr>
            <w:tcW w:w="1362" w:type="dxa"/>
            <w:shd w:val="clear" w:color="auto" w:fill="auto"/>
          </w:tcPr>
          <w:p w14:paraId="5BB60CFB" w14:textId="6F8AF21B" w:rsidR="00E22354" w:rsidRPr="00845C35" w:rsidRDefault="00AC2980" w:rsidP="00AC2980">
            <w:pPr>
              <w:spacing w:after="0" w:line="276" w:lineRule="auto"/>
              <w:jc w:val="center"/>
              <w:rPr>
                <w:rFonts w:ascii="Times New Roman" w:eastAsia="Times New Roman" w:hAnsi="Times New Roman" w:cs="Times New Roman"/>
                <w:sz w:val="24"/>
                <w:szCs w:val="24"/>
                <w:lang w:val="ru-RU"/>
              </w:rPr>
            </w:pPr>
            <w:r w:rsidRPr="00AC2980">
              <w:rPr>
                <w:rFonts w:ascii="Times New Roman" w:eastAsia="Times New Roman" w:hAnsi="Times New Roman" w:cs="Times New Roman"/>
                <w:sz w:val="24"/>
                <w:szCs w:val="24"/>
                <w:lang w:val="ru-RU"/>
              </w:rPr>
              <w:lastRenderedPageBreak/>
              <w:t xml:space="preserve">6 250 000 </w:t>
            </w:r>
          </w:p>
        </w:tc>
        <w:tc>
          <w:tcPr>
            <w:tcW w:w="1212" w:type="dxa"/>
            <w:shd w:val="clear" w:color="auto" w:fill="auto"/>
          </w:tcPr>
          <w:p w14:paraId="37A01D9E" w14:textId="77777777" w:rsidR="00E22354" w:rsidRPr="00845C35" w:rsidRDefault="00E22354" w:rsidP="00E22354">
            <w:pPr>
              <w:spacing w:after="0" w:line="276" w:lineRule="auto"/>
              <w:jc w:val="center"/>
              <w:rPr>
                <w:rFonts w:ascii="Times New Roman" w:eastAsia="Times New Roman" w:hAnsi="Times New Roman" w:cs="Times New Roman"/>
                <w:sz w:val="24"/>
                <w:szCs w:val="24"/>
              </w:rPr>
            </w:pPr>
            <w:r w:rsidRPr="00845C35">
              <w:rPr>
                <w:rFonts w:ascii="Times New Roman" w:eastAsia="Times New Roman" w:hAnsi="Times New Roman" w:cs="Times New Roman"/>
                <w:sz w:val="24"/>
                <w:szCs w:val="24"/>
              </w:rPr>
              <w:t xml:space="preserve">Қысқа мерзімді  </w:t>
            </w:r>
          </w:p>
          <w:p w14:paraId="721CDB7D" w14:textId="030B169D" w:rsidR="00E22354" w:rsidRPr="00845C35" w:rsidRDefault="00E22354" w:rsidP="00E22354">
            <w:pPr>
              <w:spacing w:after="0" w:line="276" w:lineRule="auto"/>
              <w:jc w:val="center"/>
              <w:rPr>
                <w:rFonts w:ascii="Times New Roman" w:eastAsia="Times New Roman" w:hAnsi="Times New Roman" w:cs="Times New Roman"/>
                <w:sz w:val="24"/>
                <w:szCs w:val="24"/>
                <w:lang w:val="ru-RU"/>
              </w:rPr>
            </w:pPr>
            <w:r w:rsidRPr="00845C35">
              <w:rPr>
                <w:rFonts w:ascii="Times New Roman" w:eastAsia="Times New Roman" w:hAnsi="Times New Roman" w:cs="Times New Roman"/>
                <w:sz w:val="24"/>
                <w:szCs w:val="24"/>
              </w:rPr>
              <w:t>1 грант</w:t>
            </w:r>
            <w:r w:rsidRPr="00845C35">
              <w:rPr>
                <w:rFonts w:ascii="Times New Roman" w:eastAsia="Times New Roman" w:hAnsi="Times New Roman" w:cs="Times New Roman"/>
                <w:sz w:val="24"/>
                <w:szCs w:val="24"/>
                <w:lang w:val="ru-RU"/>
              </w:rPr>
              <w:t>, 2026 жыл</w:t>
            </w:r>
          </w:p>
        </w:tc>
        <w:tc>
          <w:tcPr>
            <w:tcW w:w="1134" w:type="dxa"/>
            <w:gridSpan w:val="2"/>
          </w:tcPr>
          <w:p w14:paraId="6FEEA3FE" w14:textId="141C70D5" w:rsidR="00E22354" w:rsidRPr="00845C35" w:rsidRDefault="00945DEA" w:rsidP="00E22354">
            <w:pPr>
              <w:spacing w:after="0" w:line="276" w:lineRule="auto"/>
              <w:jc w:val="both"/>
              <w:rPr>
                <w:rFonts w:ascii="Times New Roman" w:eastAsia="Times New Roman" w:hAnsi="Times New Roman" w:cs="Times New Roman"/>
                <w:b/>
                <w:sz w:val="24"/>
                <w:szCs w:val="24"/>
              </w:rPr>
            </w:pPr>
            <w:r w:rsidRPr="00845C35">
              <w:rPr>
                <w:rFonts w:ascii="Times New Roman" w:eastAsia="Times New Roman" w:hAnsi="Times New Roman" w:cs="Times New Roman"/>
                <w:sz w:val="24"/>
                <w:szCs w:val="24"/>
                <w:lang w:val="ru-RU"/>
              </w:rPr>
              <w:t>Алматы</w:t>
            </w:r>
            <w:r w:rsidR="00E22354" w:rsidRPr="00845C35">
              <w:rPr>
                <w:rFonts w:ascii="Times New Roman" w:eastAsia="Times New Roman" w:hAnsi="Times New Roman" w:cs="Times New Roman"/>
                <w:sz w:val="24"/>
                <w:szCs w:val="24"/>
              </w:rPr>
              <w:t xml:space="preserve"> облысы</w:t>
            </w:r>
          </w:p>
        </w:tc>
        <w:tc>
          <w:tcPr>
            <w:tcW w:w="3402" w:type="dxa"/>
            <w:shd w:val="clear" w:color="auto" w:fill="auto"/>
          </w:tcPr>
          <w:p w14:paraId="24965A12" w14:textId="4E06A4D7" w:rsidR="00E22354" w:rsidRPr="00845C35" w:rsidRDefault="00E22354" w:rsidP="00E22354">
            <w:pPr>
              <w:spacing w:after="0" w:line="276" w:lineRule="auto"/>
              <w:jc w:val="both"/>
              <w:rPr>
                <w:rFonts w:ascii="Times New Roman" w:eastAsia="Times New Roman" w:hAnsi="Times New Roman" w:cs="Times New Roman"/>
                <w:b/>
                <w:sz w:val="24"/>
                <w:szCs w:val="24"/>
              </w:rPr>
            </w:pPr>
            <w:r w:rsidRPr="00845C35">
              <w:rPr>
                <w:rFonts w:ascii="Times New Roman" w:eastAsia="Times New Roman" w:hAnsi="Times New Roman" w:cs="Times New Roman"/>
                <w:b/>
                <w:sz w:val="24"/>
                <w:szCs w:val="24"/>
              </w:rPr>
              <w:t>Нысаналы индикатор:</w:t>
            </w:r>
          </w:p>
          <w:p w14:paraId="63EE9849" w14:textId="77777777" w:rsidR="00945DEA" w:rsidRPr="00845C35" w:rsidRDefault="00E22354" w:rsidP="00945DEA">
            <w:pPr>
              <w:tabs>
                <w:tab w:val="left" w:pos="310"/>
                <w:tab w:val="left" w:pos="593"/>
              </w:tabs>
              <w:spacing w:after="0"/>
              <w:jc w:val="both"/>
              <w:rPr>
                <w:rFonts w:ascii="Times New Roman" w:hAnsi="Times New Roman" w:cs="Times New Roman"/>
                <w:sz w:val="24"/>
                <w:szCs w:val="24"/>
              </w:rPr>
            </w:pPr>
            <w:r w:rsidRPr="00845C35">
              <w:rPr>
                <w:rFonts w:ascii="Times New Roman" w:eastAsia="Times New Roman" w:hAnsi="Times New Roman" w:cs="Times New Roman"/>
                <w:bCs/>
                <w:sz w:val="24"/>
                <w:szCs w:val="24"/>
              </w:rPr>
              <w:t>1.</w:t>
            </w:r>
            <w:r w:rsidRPr="00845C35">
              <w:rPr>
                <w:rFonts w:ascii="Times New Roman" w:hAnsi="Times New Roman" w:cs="Times New Roman"/>
                <w:sz w:val="24"/>
                <w:szCs w:val="24"/>
              </w:rPr>
              <w:t xml:space="preserve"> </w:t>
            </w:r>
            <w:r w:rsidR="00945DEA" w:rsidRPr="00845C35">
              <w:rPr>
                <w:rFonts w:ascii="Times New Roman" w:hAnsi="Times New Roman" w:cs="Times New Roman"/>
                <w:sz w:val="24"/>
                <w:szCs w:val="24"/>
              </w:rPr>
              <w:t xml:space="preserve">Волонтерлік қозғалысты қолдау мақсатында бірыңғай база құру және кемінде 1 500 жас волонтерді тарту </w:t>
            </w:r>
            <w:r w:rsidR="00945DEA" w:rsidRPr="004D062F">
              <w:rPr>
                <w:rFonts w:ascii="Times New Roman" w:hAnsi="Times New Roman" w:cs="Times New Roman"/>
                <w:i/>
                <w:sz w:val="24"/>
                <w:szCs w:val="24"/>
              </w:rPr>
              <w:t>(14–35 жас аралығында)</w:t>
            </w:r>
            <w:r w:rsidR="00945DEA" w:rsidRPr="00845C35">
              <w:rPr>
                <w:rFonts w:ascii="Times New Roman" w:hAnsi="Times New Roman" w:cs="Times New Roman"/>
                <w:sz w:val="24"/>
                <w:szCs w:val="24"/>
              </w:rPr>
              <w:t>;</w:t>
            </w:r>
          </w:p>
          <w:p w14:paraId="545B1F8D" w14:textId="73D10A29" w:rsidR="00945DEA" w:rsidRPr="00845C35" w:rsidRDefault="00945DEA" w:rsidP="00945DEA">
            <w:pPr>
              <w:tabs>
                <w:tab w:val="left" w:pos="310"/>
                <w:tab w:val="left" w:pos="593"/>
              </w:tabs>
              <w:spacing w:after="0"/>
              <w:jc w:val="both"/>
              <w:rPr>
                <w:rFonts w:ascii="Times New Roman" w:eastAsia="Times New Roman" w:hAnsi="Times New Roman" w:cs="Times New Roman"/>
                <w:bCs/>
                <w:sz w:val="24"/>
                <w:szCs w:val="24"/>
              </w:rPr>
            </w:pPr>
            <w:r w:rsidRPr="00845C35">
              <w:rPr>
                <w:rFonts w:ascii="Times New Roman" w:hAnsi="Times New Roman" w:cs="Times New Roman"/>
                <w:sz w:val="24"/>
                <w:szCs w:val="24"/>
              </w:rPr>
              <w:t>2. Жобаның ақпараттық қамтуы – кемінде 200 000 қаралым</w:t>
            </w:r>
            <w:r w:rsidRPr="00845C35">
              <w:rPr>
                <w:sz w:val="24"/>
                <w:szCs w:val="24"/>
              </w:rPr>
              <w:t>.</w:t>
            </w:r>
          </w:p>
          <w:p w14:paraId="37DC60B2" w14:textId="77777777" w:rsidR="00E22354" w:rsidRPr="00845C35" w:rsidRDefault="00E22354" w:rsidP="00945DEA">
            <w:pPr>
              <w:tabs>
                <w:tab w:val="left" w:pos="310"/>
                <w:tab w:val="left" w:pos="593"/>
              </w:tabs>
              <w:spacing w:after="0"/>
              <w:jc w:val="both"/>
              <w:rPr>
                <w:rFonts w:ascii="Times New Roman" w:eastAsia="Times New Roman" w:hAnsi="Times New Roman" w:cs="Times New Roman"/>
                <w:bCs/>
                <w:sz w:val="24"/>
                <w:szCs w:val="24"/>
              </w:rPr>
            </w:pPr>
          </w:p>
          <w:p w14:paraId="59CD0C6A" w14:textId="50A86748" w:rsidR="00E22354" w:rsidRPr="00845C35" w:rsidRDefault="00E22354" w:rsidP="00CF02BB">
            <w:pPr>
              <w:tabs>
                <w:tab w:val="left" w:pos="310"/>
                <w:tab w:val="left" w:pos="593"/>
              </w:tabs>
              <w:spacing w:after="0" w:line="276" w:lineRule="auto"/>
              <w:jc w:val="both"/>
              <w:rPr>
                <w:rFonts w:ascii="Times New Roman" w:eastAsia="Times New Roman" w:hAnsi="Times New Roman" w:cs="Times New Roman"/>
                <w:b/>
                <w:sz w:val="24"/>
                <w:szCs w:val="24"/>
              </w:rPr>
            </w:pPr>
            <w:r w:rsidRPr="00845C35">
              <w:rPr>
                <w:rFonts w:ascii="Times New Roman" w:eastAsia="Times New Roman" w:hAnsi="Times New Roman" w:cs="Times New Roman"/>
                <w:b/>
                <w:sz w:val="24"/>
                <w:szCs w:val="24"/>
              </w:rPr>
              <w:t>Күтілетін нәтижелер:</w:t>
            </w:r>
          </w:p>
          <w:p w14:paraId="1C60A7FD" w14:textId="605A97A8" w:rsidR="00945DEA" w:rsidRPr="00845C35" w:rsidRDefault="00945DEA" w:rsidP="00945DEA">
            <w:pPr>
              <w:tabs>
                <w:tab w:val="left" w:pos="310"/>
                <w:tab w:val="left" w:pos="593"/>
              </w:tabs>
              <w:spacing w:after="0" w:line="240" w:lineRule="auto"/>
              <w:jc w:val="both"/>
              <w:rPr>
                <w:rFonts w:ascii="Times New Roman" w:eastAsia="Times New Roman" w:hAnsi="Times New Roman" w:cs="Times New Roman"/>
                <w:bCs/>
                <w:sz w:val="24"/>
                <w:szCs w:val="24"/>
              </w:rPr>
            </w:pPr>
            <w:r w:rsidRPr="00845C35">
              <w:rPr>
                <w:rFonts w:ascii="Times New Roman" w:eastAsia="Times New Roman" w:hAnsi="Times New Roman" w:cs="Times New Roman"/>
                <w:bCs/>
                <w:sz w:val="24"/>
                <w:szCs w:val="24"/>
              </w:rPr>
              <w:t>1.</w:t>
            </w:r>
            <w:r w:rsidRPr="00845C35">
              <w:rPr>
                <w:sz w:val="24"/>
                <w:szCs w:val="24"/>
              </w:rPr>
              <w:t xml:space="preserve"> </w:t>
            </w:r>
            <w:r w:rsidRPr="00845C35">
              <w:rPr>
                <w:rFonts w:ascii="Times New Roman" w:eastAsia="Times New Roman" w:hAnsi="Times New Roman" w:cs="Times New Roman"/>
                <w:bCs/>
                <w:sz w:val="24"/>
                <w:szCs w:val="24"/>
              </w:rPr>
              <w:t>2026 жыл бойы Алматы облысының еріктілеріне арналған фронт-офистің жұмысын қамтамасыз ету және кемінде 2 білікті маманды тарту (психолог, заңгер, социолог, әлеуметтік жұмыс саласының маманы және т.б.). Фронт-офис арқылы жастарға консультациялық қызметтер көрсетіліп, кәсіби бағдар беру жұмыстары жүргізіліп, еріктілік қызметке тарту іс-шаралары ұйымдастырылады;</w:t>
            </w:r>
          </w:p>
          <w:p w14:paraId="43195619" w14:textId="5AD7D682" w:rsidR="00945DEA" w:rsidRPr="00845C35" w:rsidRDefault="00845C35" w:rsidP="00945DEA">
            <w:pPr>
              <w:tabs>
                <w:tab w:val="left" w:pos="310"/>
                <w:tab w:val="left" w:pos="593"/>
              </w:tabs>
              <w:spacing w:after="0" w:line="240" w:lineRule="auto"/>
              <w:jc w:val="both"/>
              <w:rPr>
                <w:rFonts w:ascii="Times New Roman" w:eastAsia="Times New Roman" w:hAnsi="Times New Roman" w:cs="Times New Roman"/>
                <w:bCs/>
                <w:sz w:val="24"/>
                <w:szCs w:val="24"/>
              </w:rPr>
            </w:pPr>
            <w:r w:rsidRPr="00845C35">
              <w:rPr>
                <w:rFonts w:ascii="Times New Roman" w:eastAsia="Times New Roman" w:hAnsi="Times New Roman" w:cs="Times New Roman"/>
                <w:bCs/>
                <w:sz w:val="24"/>
                <w:szCs w:val="24"/>
              </w:rPr>
              <w:t>2.</w:t>
            </w:r>
            <w:r w:rsidR="00945DEA" w:rsidRPr="00845C35">
              <w:rPr>
                <w:rFonts w:ascii="Times New Roman" w:eastAsia="Times New Roman" w:hAnsi="Times New Roman" w:cs="Times New Roman"/>
                <w:bCs/>
                <w:sz w:val="24"/>
                <w:szCs w:val="24"/>
              </w:rPr>
              <w:t xml:space="preserve">Жалпы білім беру мектептері базасында 20 және ТжКБ ұйымдары жанында 20, барлығы кемінде 40 еріктілер клубын құру арқылы еріктілер қозғалысын қалыптастыру </w:t>
            </w:r>
            <w:r w:rsidR="00945DEA" w:rsidRPr="00845C35">
              <w:rPr>
                <w:rFonts w:ascii="Times New Roman" w:eastAsia="Times New Roman" w:hAnsi="Times New Roman" w:cs="Times New Roman"/>
                <w:bCs/>
                <w:sz w:val="24"/>
                <w:szCs w:val="24"/>
              </w:rPr>
              <w:lastRenderedPageBreak/>
              <w:t>және дамыту, олармен ынтымақтастық туралы меморандумдарға қол қою және қызметін ұйымдастыру;</w:t>
            </w:r>
          </w:p>
          <w:p w14:paraId="5D6A2CA6" w14:textId="4D3FBD09" w:rsidR="004D062F" w:rsidRPr="00845C35" w:rsidRDefault="00845C35" w:rsidP="00945DEA">
            <w:pPr>
              <w:tabs>
                <w:tab w:val="left" w:pos="310"/>
                <w:tab w:val="left" w:pos="593"/>
              </w:tabs>
              <w:spacing w:after="0" w:line="240" w:lineRule="auto"/>
              <w:jc w:val="both"/>
              <w:rPr>
                <w:rFonts w:ascii="Times New Roman" w:eastAsia="Times New Roman" w:hAnsi="Times New Roman" w:cs="Times New Roman"/>
                <w:bCs/>
                <w:sz w:val="24"/>
                <w:szCs w:val="24"/>
              </w:rPr>
            </w:pPr>
            <w:r w:rsidRPr="00845C35">
              <w:rPr>
                <w:rFonts w:ascii="Times New Roman" w:eastAsia="Times New Roman" w:hAnsi="Times New Roman" w:cs="Times New Roman"/>
                <w:bCs/>
                <w:sz w:val="24"/>
                <w:szCs w:val="24"/>
              </w:rPr>
              <w:t>3.</w:t>
            </w:r>
            <w:r w:rsidR="00945DEA" w:rsidRPr="00845C35">
              <w:rPr>
                <w:rFonts w:ascii="Times New Roman" w:eastAsia="Times New Roman" w:hAnsi="Times New Roman" w:cs="Times New Roman"/>
                <w:bCs/>
                <w:sz w:val="24"/>
                <w:szCs w:val="24"/>
              </w:rPr>
              <w:t>Облыстың әртүрлі аудандарында жастар арасында еріктілер қозғалысын дамыту және тартуға бағытталған кемінде 20 іс-шара өткізу;</w:t>
            </w:r>
          </w:p>
          <w:p w14:paraId="74522B98" w14:textId="710C5477" w:rsidR="00945DEA" w:rsidRPr="00845C35" w:rsidRDefault="00845C35" w:rsidP="00945DEA">
            <w:pPr>
              <w:tabs>
                <w:tab w:val="left" w:pos="310"/>
                <w:tab w:val="left" w:pos="593"/>
              </w:tabs>
              <w:spacing w:after="0" w:line="240" w:lineRule="auto"/>
              <w:jc w:val="both"/>
              <w:rPr>
                <w:rFonts w:ascii="Times New Roman" w:eastAsia="Times New Roman" w:hAnsi="Times New Roman" w:cs="Times New Roman"/>
                <w:bCs/>
                <w:sz w:val="24"/>
                <w:szCs w:val="24"/>
              </w:rPr>
            </w:pPr>
            <w:r w:rsidRPr="00845C35">
              <w:rPr>
                <w:rFonts w:ascii="Times New Roman" w:eastAsia="Times New Roman" w:hAnsi="Times New Roman" w:cs="Times New Roman"/>
                <w:bCs/>
                <w:sz w:val="24"/>
                <w:szCs w:val="24"/>
              </w:rPr>
              <w:t xml:space="preserve">4. </w:t>
            </w:r>
            <w:r w:rsidR="00945DEA" w:rsidRPr="00845C35">
              <w:rPr>
                <w:rFonts w:ascii="Times New Roman" w:eastAsia="Times New Roman" w:hAnsi="Times New Roman" w:cs="Times New Roman"/>
                <w:bCs/>
                <w:sz w:val="24"/>
                <w:szCs w:val="24"/>
              </w:rPr>
              <w:t>Еріктілік қызметтің негізгі бағыттары бойынша кемінде 10 ұйымдастырушылық-практикалық іс-шара (дөңгелек үстелдер, семинарлар, форумдар, конференциялар, кездесулер) өткізу;</w:t>
            </w:r>
          </w:p>
          <w:p w14:paraId="0F5F52A5" w14:textId="40E76E05" w:rsidR="00945DEA" w:rsidRPr="00845C35" w:rsidRDefault="00845C35" w:rsidP="00945DEA">
            <w:pPr>
              <w:tabs>
                <w:tab w:val="left" w:pos="310"/>
                <w:tab w:val="left" w:pos="593"/>
              </w:tabs>
              <w:spacing w:after="0" w:line="240" w:lineRule="auto"/>
              <w:jc w:val="both"/>
              <w:rPr>
                <w:rFonts w:ascii="Times New Roman" w:eastAsia="Times New Roman" w:hAnsi="Times New Roman" w:cs="Times New Roman"/>
                <w:bCs/>
                <w:sz w:val="24"/>
                <w:szCs w:val="24"/>
              </w:rPr>
            </w:pPr>
            <w:r w:rsidRPr="00845C35">
              <w:rPr>
                <w:rFonts w:ascii="Times New Roman" w:eastAsia="Times New Roman" w:hAnsi="Times New Roman" w:cs="Times New Roman"/>
                <w:bCs/>
                <w:sz w:val="24"/>
                <w:szCs w:val="24"/>
              </w:rPr>
              <w:t xml:space="preserve">5. </w:t>
            </w:r>
            <w:r w:rsidR="00945DEA" w:rsidRPr="00845C35">
              <w:rPr>
                <w:rFonts w:ascii="Times New Roman" w:eastAsia="Times New Roman" w:hAnsi="Times New Roman" w:cs="Times New Roman"/>
                <w:bCs/>
                <w:sz w:val="24"/>
                <w:szCs w:val="24"/>
              </w:rPr>
              <w:t>Халықаралық еріктілер жылы – 2026, мемлекеттік, халықаралық және атаулы күндерге орай (Тапсырыс берушімен келісу арқылы) облыстың әртүрлі аудандарында еріктілер қозғалысын дамытуға бағытталған кемінде 60 іс-шара ұйымдастыру және өткізу;</w:t>
            </w:r>
          </w:p>
          <w:p w14:paraId="56F2311F" w14:textId="60076786" w:rsidR="00945DEA" w:rsidRPr="00845C35" w:rsidRDefault="00845C35" w:rsidP="00945DEA">
            <w:pPr>
              <w:tabs>
                <w:tab w:val="left" w:pos="310"/>
                <w:tab w:val="left" w:pos="593"/>
              </w:tabs>
              <w:spacing w:after="0" w:line="240" w:lineRule="auto"/>
              <w:jc w:val="both"/>
              <w:rPr>
                <w:rFonts w:ascii="Times New Roman" w:eastAsia="Times New Roman" w:hAnsi="Times New Roman" w:cs="Times New Roman"/>
                <w:bCs/>
                <w:sz w:val="24"/>
                <w:szCs w:val="24"/>
              </w:rPr>
            </w:pPr>
            <w:r w:rsidRPr="00845C35">
              <w:rPr>
                <w:rFonts w:ascii="Times New Roman" w:eastAsia="Times New Roman" w:hAnsi="Times New Roman" w:cs="Times New Roman"/>
                <w:bCs/>
                <w:sz w:val="24"/>
                <w:szCs w:val="24"/>
              </w:rPr>
              <w:t xml:space="preserve">6. </w:t>
            </w:r>
            <w:r w:rsidR="00945DEA" w:rsidRPr="00845C35">
              <w:rPr>
                <w:rFonts w:ascii="Times New Roman" w:eastAsia="Times New Roman" w:hAnsi="Times New Roman" w:cs="Times New Roman"/>
                <w:bCs/>
                <w:sz w:val="24"/>
                <w:szCs w:val="24"/>
              </w:rPr>
              <w:t>Алматы облысының еріктілер ұйымдары көшбасшылары үшін кемінде 4 диалог алаңын ұйымдастыру;</w:t>
            </w:r>
          </w:p>
          <w:p w14:paraId="24536069" w14:textId="295F9D4D" w:rsidR="00945DEA" w:rsidRPr="00845C35" w:rsidRDefault="00845C35" w:rsidP="00945DEA">
            <w:pPr>
              <w:tabs>
                <w:tab w:val="left" w:pos="310"/>
                <w:tab w:val="left" w:pos="593"/>
              </w:tabs>
              <w:spacing w:after="0" w:line="240" w:lineRule="auto"/>
              <w:jc w:val="both"/>
              <w:rPr>
                <w:rFonts w:ascii="Times New Roman" w:eastAsia="Times New Roman" w:hAnsi="Times New Roman" w:cs="Times New Roman"/>
                <w:bCs/>
                <w:sz w:val="24"/>
                <w:szCs w:val="24"/>
              </w:rPr>
            </w:pPr>
            <w:r w:rsidRPr="00845C35">
              <w:rPr>
                <w:rFonts w:ascii="Times New Roman" w:eastAsia="Times New Roman" w:hAnsi="Times New Roman" w:cs="Times New Roman"/>
                <w:bCs/>
                <w:sz w:val="24"/>
                <w:szCs w:val="24"/>
              </w:rPr>
              <w:t xml:space="preserve">7. </w:t>
            </w:r>
            <w:r w:rsidR="00945DEA" w:rsidRPr="00845C35">
              <w:rPr>
                <w:rFonts w:ascii="Times New Roman" w:eastAsia="Times New Roman" w:hAnsi="Times New Roman" w:cs="Times New Roman"/>
                <w:bCs/>
                <w:sz w:val="24"/>
                <w:szCs w:val="24"/>
              </w:rPr>
              <w:t xml:space="preserve">Жобаны ақпараттық сүйемелдеуді қамтамасыз ету, кемінде 200 000 адамды қамту – жобаны жариялау мақсатында кемінде 20 </w:t>
            </w:r>
            <w:r w:rsidR="00945DEA" w:rsidRPr="00845C35">
              <w:rPr>
                <w:rFonts w:ascii="Times New Roman" w:eastAsia="Times New Roman" w:hAnsi="Times New Roman" w:cs="Times New Roman"/>
                <w:bCs/>
                <w:sz w:val="24"/>
                <w:szCs w:val="24"/>
              </w:rPr>
              <w:lastRenderedPageBreak/>
              <w:t>(жиырма) өңірлік және 5 (бес) республикалық БАҚ-ты тарту;</w:t>
            </w:r>
          </w:p>
          <w:p w14:paraId="581D303D" w14:textId="1C2E3D10" w:rsidR="00E22354" w:rsidRPr="00845C35" w:rsidRDefault="00845C35" w:rsidP="00945DEA">
            <w:pPr>
              <w:tabs>
                <w:tab w:val="left" w:pos="310"/>
                <w:tab w:val="left" w:pos="593"/>
              </w:tabs>
              <w:spacing w:after="0" w:line="240" w:lineRule="auto"/>
              <w:jc w:val="both"/>
              <w:rPr>
                <w:rFonts w:ascii="Times New Roman" w:eastAsia="Times New Roman" w:hAnsi="Times New Roman" w:cs="Times New Roman"/>
                <w:bCs/>
                <w:sz w:val="24"/>
                <w:szCs w:val="24"/>
              </w:rPr>
            </w:pPr>
            <w:r w:rsidRPr="00845C35">
              <w:rPr>
                <w:rFonts w:ascii="Times New Roman" w:eastAsia="Times New Roman" w:hAnsi="Times New Roman" w:cs="Times New Roman"/>
                <w:bCs/>
                <w:sz w:val="24"/>
                <w:szCs w:val="24"/>
              </w:rPr>
              <w:t xml:space="preserve">8. </w:t>
            </w:r>
            <w:r w:rsidR="00945DEA" w:rsidRPr="00845C35">
              <w:rPr>
                <w:rFonts w:ascii="Times New Roman" w:eastAsia="Times New Roman" w:hAnsi="Times New Roman" w:cs="Times New Roman"/>
                <w:bCs/>
                <w:sz w:val="24"/>
                <w:szCs w:val="24"/>
              </w:rPr>
              <w:t>Үздік тәжірибелер жинағын (кемінде 100 дана) дайындау және тарату, сондай-ақ имидждік өнімдер (кемінде 50 еріктіге арналған), бұл табысты тәжірибені таратуға және еріктілік имиджін нығайтуға ықпал етеді.</w:t>
            </w:r>
          </w:p>
        </w:tc>
        <w:tc>
          <w:tcPr>
            <w:tcW w:w="1560" w:type="dxa"/>
          </w:tcPr>
          <w:p w14:paraId="658FAA59" w14:textId="77777777" w:rsidR="00E22354" w:rsidRPr="00E22354" w:rsidRDefault="00E22354" w:rsidP="00E22354">
            <w:pPr>
              <w:spacing w:after="0" w:line="276" w:lineRule="auto"/>
              <w:jc w:val="both"/>
              <w:rPr>
                <w:rFonts w:ascii="Times New Roman" w:eastAsia="Times New Roman" w:hAnsi="Times New Roman" w:cs="Times New Roman"/>
                <w:b/>
                <w:sz w:val="24"/>
                <w:szCs w:val="24"/>
              </w:rPr>
            </w:pPr>
          </w:p>
        </w:tc>
      </w:tr>
      <w:tr w:rsidR="009C721A" w:rsidRPr="00E22354" w14:paraId="42D8FDAA" w14:textId="77777777" w:rsidTr="009C721A">
        <w:trPr>
          <w:trHeight w:val="525"/>
        </w:trPr>
        <w:tc>
          <w:tcPr>
            <w:tcW w:w="7569" w:type="dxa"/>
            <w:gridSpan w:val="4"/>
            <w:shd w:val="clear" w:color="auto" w:fill="auto"/>
            <w:vAlign w:val="center"/>
          </w:tcPr>
          <w:p w14:paraId="572519EC" w14:textId="7CA32CC9" w:rsidR="009C721A" w:rsidRPr="009878B8" w:rsidRDefault="009C721A" w:rsidP="009878B8">
            <w:pPr>
              <w:spacing w:line="240" w:lineRule="auto"/>
              <w:ind w:left="20"/>
              <w:jc w:val="right"/>
              <w:rPr>
                <w:rFonts w:ascii="Times New Roman" w:eastAsia="Times New Roman" w:hAnsi="Times New Roman" w:cs="Times New Roman"/>
                <w:b/>
                <w:sz w:val="24"/>
                <w:szCs w:val="24"/>
              </w:rPr>
            </w:pPr>
            <w:r w:rsidRPr="009878B8">
              <w:rPr>
                <w:rFonts w:ascii="Times New Roman" w:eastAsia="Times New Roman" w:hAnsi="Times New Roman" w:cs="Times New Roman"/>
                <w:b/>
                <w:sz w:val="24"/>
                <w:szCs w:val="24"/>
                <w:lang w:val="ru-RU"/>
              </w:rPr>
              <w:lastRenderedPageBreak/>
              <w:t>Барлығы</w:t>
            </w:r>
          </w:p>
        </w:tc>
        <w:tc>
          <w:tcPr>
            <w:tcW w:w="1362" w:type="dxa"/>
            <w:shd w:val="clear" w:color="auto" w:fill="auto"/>
          </w:tcPr>
          <w:p w14:paraId="7D845BC3" w14:textId="77777777" w:rsidR="009C721A" w:rsidRPr="009878B8" w:rsidRDefault="009C721A" w:rsidP="009C721A">
            <w:pPr>
              <w:tabs>
                <w:tab w:val="left" w:pos="2688"/>
              </w:tabs>
              <w:spacing w:after="0" w:line="276" w:lineRule="auto"/>
              <w:jc w:val="both"/>
              <w:rPr>
                <w:rFonts w:ascii="Times New Roman" w:eastAsia="Times New Roman" w:hAnsi="Times New Roman" w:cs="Times New Roman"/>
                <w:b/>
                <w:sz w:val="24"/>
                <w:szCs w:val="24"/>
              </w:rPr>
            </w:pPr>
            <w:r w:rsidRPr="00AC2980">
              <w:rPr>
                <w:rFonts w:ascii="Times New Roman" w:eastAsia="Times New Roman" w:hAnsi="Times New Roman" w:cs="Times New Roman"/>
                <w:b/>
                <w:sz w:val="24"/>
                <w:szCs w:val="24"/>
                <w:lang w:val="ru-RU"/>
              </w:rPr>
              <w:t>13 392</w:t>
            </w:r>
            <w:r>
              <w:rPr>
                <w:rFonts w:ascii="Times New Roman" w:eastAsia="Times New Roman" w:hAnsi="Times New Roman" w:cs="Times New Roman"/>
                <w:b/>
                <w:sz w:val="24"/>
                <w:szCs w:val="24"/>
                <w:lang w:val="ru-RU"/>
              </w:rPr>
              <w:t> </w:t>
            </w:r>
            <w:r w:rsidRPr="00AC2980">
              <w:rPr>
                <w:rFonts w:ascii="Times New Roman" w:eastAsia="Times New Roman" w:hAnsi="Times New Roman" w:cs="Times New Roman"/>
                <w:b/>
                <w:sz w:val="24"/>
                <w:szCs w:val="24"/>
                <w:lang w:val="ru-RU"/>
              </w:rPr>
              <w:t>857</w:t>
            </w:r>
            <w:r>
              <w:rPr>
                <w:rFonts w:ascii="Times New Roman" w:eastAsia="Times New Roman" w:hAnsi="Times New Roman" w:cs="Times New Roman"/>
                <w:b/>
                <w:sz w:val="24"/>
                <w:szCs w:val="24"/>
                <w:lang w:val="ru-RU"/>
              </w:rPr>
              <w:tab/>
            </w:r>
          </w:p>
        </w:tc>
        <w:tc>
          <w:tcPr>
            <w:tcW w:w="1276" w:type="dxa"/>
            <w:gridSpan w:val="2"/>
            <w:shd w:val="clear" w:color="auto" w:fill="auto"/>
          </w:tcPr>
          <w:p w14:paraId="59C136F5" w14:textId="77777777" w:rsidR="009C721A" w:rsidRPr="009878B8" w:rsidRDefault="009C721A" w:rsidP="009C721A">
            <w:pPr>
              <w:tabs>
                <w:tab w:val="left" w:pos="2688"/>
              </w:tabs>
              <w:spacing w:after="0" w:line="276" w:lineRule="auto"/>
              <w:jc w:val="both"/>
              <w:rPr>
                <w:rFonts w:ascii="Times New Roman" w:eastAsia="Times New Roman" w:hAnsi="Times New Roman" w:cs="Times New Roman"/>
                <w:b/>
                <w:sz w:val="24"/>
                <w:szCs w:val="24"/>
              </w:rPr>
            </w:pPr>
          </w:p>
        </w:tc>
        <w:tc>
          <w:tcPr>
            <w:tcW w:w="1070" w:type="dxa"/>
            <w:shd w:val="clear" w:color="auto" w:fill="auto"/>
          </w:tcPr>
          <w:p w14:paraId="5531EE8A" w14:textId="1756F1BB" w:rsidR="009C721A" w:rsidRPr="009878B8" w:rsidRDefault="009C721A" w:rsidP="009C721A">
            <w:pPr>
              <w:tabs>
                <w:tab w:val="left" w:pos="2688"/>
              </w:tabs>
              <w:spacing w:after="0" w:line="276" w:lineRule="auto"/>
              <w:jc w:val="both"/>
              <w:rPr>
                <w:rFonts w:ascii="Times New Roman" w:eastAsia="Times New Roman" w:hAnsi="Times New Roman" w:cs="Times New Roman"/>
                <w:b/>
                <w:sz w:val="24"/>
                <w:szCs w:val="24"/>
              </w:rPr>
            </w:pPr>
          </w:p>
        </w:tc>
        <w:tc>
          <w:tcPr>
            <w:tcW w:w="3402" w:type="dxa"/>
            <w:shd w:val="clear" w:color="auto" w:fill="auto"/>
          </w:tcPr>
          <w:p w14:paraId="779911C0" w14:textId="77777777" w:rsidR="009C721A" w:rsidRPr="00E22354" w:rsidRDefault="009C721A" w:rsidP="009878B8">
            <w:pPr>
              <w:spacing w:after="0" w:line="276" w:lineRule="auto"/>
              <w:jc w:val="both"/>
              <w:rPr>
                <w:rFonts w:ascii="Times New Roman" w:eastAsia="Times New Roman" w:hAnsi="Times New Roman" w:cs="Times New Roman"/>
                <w:b/>
                <w:sz w:val="24"/>
                <w:szCs w:val="24"/>
              </w:rPr>
            </w:pPr>
          </w:p>
        </w:tc>
        <w:tc>
          <w:tcPr>
            <w:tcW w:w="1560" w:type="dxa"/>
          </w:tcPr>
          <w:p w14:paraId="464AE8FD" w14:textId="77777777" w:rsidR="009C721A" w:rsidRPr="00E22354" w:rsidRDefault="009C721A" w:rsidP="009878B8">
            <w:pPr>
              <w:spacing w:after="0" w:line="276" w:lineRule="auto"/>
              <w:jc w:val="both"/>
              <w:rPr>
                <w:rFonts w:ascii="Times New Roman" w:eastAsia="Times New Roman" w:hAnsi="Times New Roman" w:cs="Times New Roman"/>
                <w:b/>
                <w:sz w:val="24"/>
                <w:szCs w:val="24"/>
              </w:rPr>
            </w:pPr>
          </w:p>
        </w:tc>
      </w:tr>
    </w:tbl>
    <w:p w14:paraId="2C821FC9" w14:textId="77777777" w:rsidR="00970718" w:rsidRDefault="00970718">
      <w:pPr>
        <w:rPr>
          <w:rFonts w:ascii="Times New Roman" w:eastAsia="Times New Roman" w:hAnsi="Times New Roman" w:cs="Times New Roman"/>
          <w:b/>
          <w:sz w:val="28"/>
          <w:szCs w:val="28"/>
        </w:rPr>
      </w:pPr>
    </w:p>
    <w:p w14:paraId="60E524D4" w14:textId="77777777" w:rsidR="00F14633" w:rsidRPr="00945DEA" w:rsidRDefault="00F14633" w:rsidP="00945DEA">
      <w:pPr>
        <w:rPr>
          <w:rFonts w:ascii="Times New Roman" w:eastAsia="Times New Roman" w:hAnsi="Times New Roman" w:cs="Times New Roman"/>
          <w:sz w:val="28"/>
          <w:szCs w:val="28"/>
        </w:rPr>
      </w:pPr>
    </w:p>
    <w:sectPr w:rsidR="00F14633" w:rsidRPr="00945DEA" w:rsidSect="00F45845">
      <w:pgSz w:w="16838" w:h="11906" w:orient="landscape"/>
      <w:pgMar w:top="568" w:right="720" w:bottom="720" w:left="72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04BB4" w14:textId="77777777" w:rsidR="00040936" w:rsidRDefault="00040936" w:rsidP="00CF02BB">
      <w:pPr>
        <w:spacing w:after="0" w:line="240" w:lineRule="auto"/>
      </w:pPr>
      <w:r>
        <w:separator/>
      </w:r>
    </w:p>
  </w:endnote>
  <w:endnote w:type="continuationSeparator" w:id="0">
    <w:p w14:paraId="296BA727" w14:textId="77777777" w:rsidR="00040936" w:rsidRDefault="00040936" w:rsidP="00CF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70E14" w14:textId="77777777" w:rsidR="00040936" w:rsidRDefault="00040936" w:rsidP="00CF02BB">
      <w:pPr>
        <w:spacing w:after="0" w:line="240" w:lineRule="auto"/>
      </w:pPr>
      <w:r>
        <w:separator/>
      </w:r>
    </w:p>
  </w:footnote>
  <w:footnote w:type="continuationSeparator" w:id="0">
    <w:p w14:paraId="1DD0A234" w14:textId="77777777" w:rsidR="00040936" w:rsidRDefault="00040936" w:rsidP="00CF0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374A0"/>
    <w:multiLevelType w:val="multilevel"/>
    <w:tmpl w:val="D1B8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80822"/>
    <w:multiLevelType w:val="hybridMultilevel"/>
    <w:tmpl w:val="59824EC6"/>
    <w:lvl w:ilvl="0" w:tplc="F87E8E2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260177"/>
    <w:multiLevelType w:val="hybridMultilevel"/>
    <w:tmpl w:val="FBF452C4"/>
    <w:lvl w:ilvl="0" w:tplc="9D82F5BE">
      <w:numFmt w:val="bullet"/>
      <w:lvlText w:val="•"/>
      <w:lvlJc w:val="left"/>
      <w:pPr>
        <w:ind w:left="756" w:hanging="396"/>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A5745C"/>
    <w:multiLevelType w:val="hybridMultilevel"/>
    <w:tmpl w:val="B39289EA"/>
    <w:lvl w:ilvl="0" w:tplc="6430075C">
      <w:numFmt w:val="bullet"/>
      <w:lvlText w:val=""/>
      <w:lvlJc w:val="left"/>
      <w:pPr>
        <w:ind w:left="1200" w:hanging="84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B06CE6"/>
    <w:multiLevelType w:val="multilevel"/>
    <w:tmpl w:val="FE2E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404B7"/>
    <w:multiLevelType w:val="multilevel"/>
    <w:tmpl w:val="1414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264A6B"/>
    <w:multiLevelType w:val="multilevel"/>
    <w:tmpl w:val="5762C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AF213F"/>
    <w:multiLevelType w:val="multilevel"/>
    <w:tmpl w:val="290C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6234DB"/>
    <w:multiLevelType w:val="hybridMultilevel"/>
    <w:tmpl w:val="04DA84A6"/>
    <w:lvl w:ilvl="0" w:tplc="F87E8E2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8652C78"/>
    <w:multiLevelType w:val="hybridMultilevel"/>
    <w:tmpl w:val="73F2805E"/>
    <w:lvl w:ilvl="0" w:tplc="F87E8E2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8DC5180"/>
    <w:multiLevelType w:val="hybridMultilevel"/>
    <w:tmpl w:val="AC12CAAC"/>
    <w:lvl w:ilvl="0" w:tplc="F87E8E2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B676787"/>
    <w:multiLevelType w:val="multilevel"/>
    <w:tmpl w:val="E6C8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7"/>
  </w:num>
  <w:num w:numId="4">
    <w:abstractNumId w:val="4"/>
  </w:num>
  <w:num w:numId="5">
    <w:abstractNumId w:val="0"/>
  </w:num>
  <w:num w:numId="6">
    <w:abstractNumId w:val="5"/>
  </w:num>
  <w:num w:numId="7">
    <w:abstractNumId w:val="8"/>
  </w:num>
  <w:num w:numId="8">
    <w:abstractNumId w:val="1"/>
  </w:num>
  <w:num w:numId="9">
    <w:abstractNumId w:val="3"/>
  </w:num>
  <w:num w:numId="10">
    <w:abstractNumId w:val="9"/>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33"/>
    <w:rsid w:val="00040936"/>
    <w:rsid w:val="00053E5D"/>
    <w:rsid w:val="00145892"/>
    <w:rsid w:val="001762BE"/>
    <w:rsid w:val="00182573"/>
    <w:rsid w:val="00194973"/>
    <w:rsid w:val="001A5027"/>
    <w:rsid w:val="001D4D55"/>
    <w:rsid w:val="00222646"/>
    <w:rsid w:val="00280F25"/>
    <w:rsid w:val="002E0746"/>
    <w:rsid w:val="00301D3B"/>
    <w:rsid w:val="003272DB"/>
    <w:rsid w:val="00330A93"/>
    <w:rsid w:val="003319D3"/>
    <w:rsid w:val="003623A3"/>
    <w:rsid w:val="003C5B77"/>
    <w:rsid w:val="003E7815"/>
    <w:rsid w:val="003F214D"/>
    <w:rsid w:val="004315E7"/>
    <w:rsid w:val="00495157"/>
    <w:rsid w:val="004B0107"/>
    <w:rsid w:val="004B5FF7"/>
    <w:rsid w:val="004B69EC"/>
    <w:rsid w:val="004C36A6"/>
    <w:rsid w:val="004D062F"/>
    <w:rsid w:val="004E380D"/>
    <w:rsid w:val="004F5309"/>
    <w:rsid w:val="00520CC3"/>
    <w:rsid w:val="005317C7"/>
    <w:rsid w:val="0054170C"/>
    <w:rsid w:val="00565C83"/>
    <w:rsid w:val="00581254"/>
    <w:rsid w:val="005A1A7C"/>
    <w:rsid w:val="00641F95"/>
    <w:rsid w:val="006421D2"/>
    <w:rsid w:val="00651EF1"/>
    <w:rsid w:val="00684F63"/>
    <w:rsid w:val="006E6949"/>
    <w:rsid w:val="0072592E"/>
    <w:rsid w:val="0075377B"/>
    <w:rsid w:val="007C11AD"/>
    <w:rsid w:val="007F20B4"/>
    <w:rsid w:val="0082764E"/>
    <w:rsid w:val="00841C01"/>
    <w:rsid w:val="00845C35"/>
    <w:rsid w:val="00851C06"/>
    <w:rsid w:val="00854830"/>
    <w:rsid w:val="00886320"/>
    <w:rsid w:val="00891E61"/>
    <w:rsid w:val="008A7B7D"/>
    <w:rsid w:val="008B0232"/>
    <w:rsid w:val="008C6FB0"/>
    <w:rsid w:val="008E64E9"/>
    <w:rsid w:val="00904B78"/>
    <w:rsid w:val="00940318"/>
    <w:rsid w:val="00945DEA"/>
    <w:rsid w:val="00970718"/>
    <w:rsid w:val="009878B8"/>
    <w:rsid w:val="009C721A"/>
    <w:rsid w:val="009E42D9"/>
    <w:rsid w:val="00A21250"/>
    <w:rsid w:val="00A47AEF"/>
    <w:rsid w:val="00A7429A"/>
    <w:rsid w:val="00AA1BB8"/>
    <w:rsid w:val="00AC2980"/>
    <w:rsid w:val="00B03A70"/>
    <w:rsid w:val="00B53FEA"/>
    <w:rsid w:val="00B541AF"/>
    <w:rsid w:val="00B96034"/>
    <w:rsid w:val="00BA5156"/>
    <w:rsid w:val="00BB4B2C"/>
    <w:rsid w:val="00BE5F76"/>
    <w:rsid w:val="00C2659F"/>
    <w:rsid w:val="00C93423"/>
    <w:rsid w:val="00CA02B2"/>
    <w:rsid w:val="00CB066A"/>
    <w:rsid w:val="00CC6B76"/>
    <w:rsid w:val="00CC7C5B"/>
    <w:rsid w:val="00CF02BB"/>
    <w:rsid w:val="00D12D0F"/>
    <w:rsid w:val="00D549E4"/>
    <w:rsid w:val="00D573AA"/>
    <w:rsid w:val="00D920F9"/>
    <w:rsid w:val="00D954BA"/>
    <w:rsid w:val="00DC4308"/>
    <w:rsid w:val="00DF780F"/>
    <w:rsid w:val="00E10769"/>
    <w:rsid w:val="00E22354"/>
    <w:rsid w:val="00F14633"/>
    <w:rsid w:val="00F33DF3"/>
    <w:rsid w:val="00F45845"/>
    <w:rsid w:val="00F81AF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22EE"/>
  <w15:docId w15:val="{183386D7-58FE-40DC-AF5D-08D4C021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BA0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E10769"/>
    <w:pPr>
      <w:ind w:left="720"/>
      <w:contextualSpacing/>
    </w:pPr>
  </w:style>
  <w:style w:type="table" w:customStyle="1" w:styleId="10">
    <w:name w:val="Сетка таблицы1"/>
    <w:basedOn w:val="a1"/>
    <w:next w:val="a4"/>
    <w:uiPriority w:val="39"/>
    <w:rsid w:val="00970718"/>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8B023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a">
    <w:name w:val="Strong"/>
    <w:basedOn w:val="a0"/>
    <w:uiPriority w:val="22"/>
    <w:qFormat/>
    <w:rsid w:val="008B0232"/>
    <w:rPr>
      <w:b/>
      <w:bCs/>
    </w:rPr>
  </w:style>
  <w:style w:type="character" w:customStyle="1" w:styleId="whitespace-normal">
    <w:name w:val="whitespace-normal"/>
    <w:basedOn w:val="a0"/>
    <w:rsid w:val="00BE5F76"/>
  </w:style>
  <w:style w:type="paragraph" w:styleId="ab">
    <w:name w:val="header"/>
    <w:basedOn w:val="a"/>
    <w:link w:val="ac"/>
    <w:uiPriority w:val="99"/>
    <w:unhideWhenUsed/>
    <w:rsid w:val="00CF02B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F02BB"/>
  </w:style>
  <w:style w:type="paragraph" w:styleId="ad">
    <w:name w:val="footer"/>
    <w:basedOn w:val="a"/>
    <w:link w:val="ae"/>
    <w:uiPriority w:val="99"/>
    <w:unhideWhenUsed/>
    <w:rsid w:val="00CF02B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F0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2560">
      <w:bodyDiv w:val="1"/>
      <w:marLeft w:val="0"/>
      <w:marRight w:val="0"/>
      <w:marTop w:val="0"/>
      <w:marBottom w:val="0"/>
      <w:divBdr>
        <w:top w:val="none" w:sz="0" w:space="0" w:color="auto"/>
        <w:left w:val="none" w:sz="0" w:space="0" w:color="auto"/>
        <w:bottom w:val="none" w:sz="0" w:space="0" w:color="auto"/>
        <w:right w:val="none" w:sz="0" w:space="0" w:color="auto"/>
      </w:divBdr>
    </w:div>
    <w:div w:id="211773255">
      <w:bodyDiv w:val="1"/>
      <w:marLeft w:val="0"/>
      <w:marRight w:val="0"/>
      <w:marTop w:val="0"/>
      <w:marBottom w:val="0"/>
      <w:divBdr>
        <w:top w:val="none" w:sz="0" w:space="0" w:color="auto"/>
        <w:left w:val="none" w:sz="0" w:space="0" w:color="auto"/>
        <w:bottom w:val="none" w:sz="0" w:space="0" w:color="auto"/>
        <w:right w:val="none" w:sz="0" w:space="0" w:color="auto"/>
      </w:divBdr>
    </w:div>
    <w:div w:id="213859344">
      <w:bodyDiv w:val="1"/>
      <w:marLeft w:val="0"/>
      <w:marRight w:val="0"/>
      <w:marTop w:val="0"/>
      <w:marBottom w:val="0"/>
      <w:divBdr>
        <w:top w:val="none" w:sz="0" w:space="0" w:color="auto"/>
        <w:left w:val="none" w:sz="0" w:space="0" w:color="auto"/>
        <w:bottom w:val="none" w:sz="0" w:space="0" w:color="auto"/>
        <w:right w:val="none" w:sz="0" w:space="0" w:color="auto"/>
      </w:divBdr>
    </w:div>
    <w:div w:id="293411729">
      <w:bodyDiv w:val="1"/>
      <w:marLeft w:val="0"/>
      <w:marRight w:val="0"/>
      <w:marTop w:val="0"/>
      <w:marBottom w:val="0"/>
      <w:divBdr>
        <w:top w:val="none" w:sz="0" w:space="0" w:color="auto"/>
        <w:left w:val="none" w:sz="0" w:space="0" w:color="auto"/>
        <w:bottom w:val="none" w:sz="0" w:space="0" w:color="auto"/>
        <w:right w:val="none" w:sz="0" w:space="0" w:color="auto"/>
      </w:divBdr>
    </w:div>
    <w:div w:id="367990557">
      <w:bodyDiv w:val="1"/>
      <w:marLeft w:val="0"/>
      <w:marRight w:val="0"/>
      <w:marTop w:val="0"/>
      <w:marBottom w:val="0"/>
      <w:divBdr>
        <w:top w:val="none" w:sz="0" w:space="0" w:color="auto"/>
        <w:left w:val="none" w:sz="0" w:space="0" w:color="auto"/>
        <w:bottom w:val="none" w:sz="0" w:space="0" w:color="auto"/>
        <w:right w:val="none" w:sz="0" w:space="0" w:color="auto"/>
      </w:divBdr>
    </w:div>
    <w:div w:id="398670678">
      <w:bodyDiv w:val="1"/>
      <w:marLeft w:val="0"/>
      <w:marRight w:val="0"/>
      <w:marTop w:val="0"/>
      <w:marBottom w:val="0"/>
      <w:divBdr>
        <w:top w:val="none" w:sz="0" w:space="0" w:color="auto"/>
        <w:left w:val="none" w:sz="0" w:space="0" w:color="auto"/>
        <w:bottom w:val="none" w:sz="0" w:space="0" w:color="auto"/>
        <w:right w:val="none" w:sz="0" w:space="0" w:color="auto"/>
      </w:divBdr>
      <w:divsChild>
        <w:div w:id="457114571">
          <w:marLeft w:val="0"/>
          <w:marRight w:val="0"/>
          <w:marTop w:val="0"/>
          <w:marBottom w:val="0"/>
          <w:divBdr>
            <w:top w:val="none" w:sz="0" w:space="0" w:color="auto"/>
            <w:left w:val="none" w:sz="0" w:space="0" w:color="auto"/>
            <w:bottom w:val="none" w:sz="0" w:space="0" w:color="auto"/>
            <w:right w:val="none" w:sz="0" w:space="0" w:color="auto"/>
          </w:divBdr>
          <w:divsChild>
            <w:div w:id="667098121">
              <w:marLeft w:val="0"/>
              <w:marRight w:val="0"/>
              <w:marTop w:val="0"/>
              <w:marBottom w:val="0"/>
              <w:divBdr>
                <w:top w:val="none" w:sz="0" w:space="0" w:color="auto"/>
                <w:left w:val="none" w:sz="0" w:space="0" w:color="auto"/>
                <w:bottom w:val="none" w:sz="0" w:space="0" w:color="auto"/>
                <w:right w:val="none" w:sz="0" w:space="0" w:color="auto"/>
              </w:divBdr>
              <w:divsChild>
                <w:div w:id="1993563734">
                  <w:marLeft w:val="0"/>
                  <w:marRight w:val="0"/>
                  <w:marTop w:val="0"/>
                  <w:marBottom w:val="0"/>
                  <w:divBdr>
                    <w:top w:val="none" w:sz="0" w:space="0" w:color="auto"/>
                    <w:left w:val="none" w:sz="0" w:space="0" w:color="auto"/>
                    <w:bottom w:val="none" w:sz="0" w:space="0" w:color="auto"/>
                    <w:right w:val="none" w:sz="0" w:space="0" w:color="auto"/>
                  </w:divBdr>
                  <w:divsChild>
                    <w:div w:id="186020735">
                      <w:marLeft w:val="0"/>
                      <w:marRight w:val="0"/>
                      <w:marTop w:val="0"/>
                      <w:marBottom w:val="0"/>
                      <w:divBdr>
                        <w:top w:val="none" w:sz="0" w:space="0" w:color="auto"/>
                        <w:left w:val="none" w:sz="0" w:space="0" w:color="auto"/>
                        <w:bottom w:val="none" w:sz="0" w:space="0" w:color="auto"/>
                        <w:right w:val="none" w:sz="0" w:space="0" w:color="auto"/>
                      </w:divBdr>
                      <w:divsChild>
                        <w:div w:id="1371882074">
                          <w:marLeft w:val="0"/>
                          <w:marRight w:val="0"/>
                          <w:marTop w:val="0"/>
                          <w:marBottom w:val="0"/>
                          <w:divBdr>
                            <w:top w:val="none" w:sz="0" w:space="0" w:color="auto"/>
                            <w:left w:val="none" w:sz="0" w:space="0" w:color="auto"/>
                            <w:bottom w:val="none" w:sz="0" w:space="0" w:color="auto"/>
                            <w:right w:val="none" w:sz="0" w:space="0" w:color="auto"/>
                          </w:divBdr>
                          <w:divsChild>
                            <w:div w:id="14167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029555">
      <w:bodyDiv w:val="1"/>
      <w:marLeft w:val="0"/>
      <w:marRight w:val="0"/>
      <w:marTop w:val="0"/>
      <w:marBottom w:val="0"/>
      <w:divBdr>
        <w:top w:val="none" w:sz="0" w:space="0" w:color="auto"/>
        <w:left w:val="none" w:sz="0" w:space="0" w:color="auto"/>
        <w:bottom w:val="none" w:sz="0" w:space="0" w:color="auto"/>
        <w:right w:val="none" w:sz="0" w:space="0" w:color="auto"/>
      </w:divBdr>
    </w:div>
    <w:div w:id="897714715">
      <w:bodyDiv w:val="1"/>
      <w:marLeft w:val="0"/>
      <w:marRight w:val="0"/>
      <w:marTop w:val="0"/>
      <w:marBottom w:val="0"/>
      <w:divBdr>
        <w:top w:val="none" w:sz="0" w:space="0" w:color="auto"/>
        <w:left w:val="none" w:sz="0" w:space="0" w:color="auto"/>
        <w:bottom w:val="none" w:sz="0" w:space="0" w:color="auto"/>
        <w:right w:val="none" w:sz="0" w:space="0" w:color="auto"/>
      </w:divBdr>
    </w:div>
    <w:div w:id="1137147503">
      <w:bodyDiv w:val="1"/>
      <w:marLeft w:val="0"/>
      <w:marRight w:val="0"/>
      <w:marTop w:val="0"/>
      <w:marBottom w:val="0"/>
      <w:divBdr>
        <w:top w:val="none" w:sz="0" w:space="0" w:color="auto"/>
        <w:left w:val="none" w:sz="0" w:space="0" w:color="auto"/>
        <w:bottom w:val="none" w:sz="0" w:space="0" w:color="auto"/>
        <w:right w:val="none" w:sz="0" w:space="0" w:color="auto"/>
      </w:divBdr>
    </w:div>
    <w:div w:id="1145463147">
      <w:bodyDiv w:val="1"/>
      <w:marLeft w:val="0"/>
      <w:marRight w:val="0"/>
      <w:marTop w:val="0"/>
      <w:marBottom w:val="0"/>
      <w:divBdr>
        <w:top w:val="none" w:sz="0" w:space="0" w:color="auto"/>
        <w:left w:val="none" w:sz="0" w:space="0" w:color="auto"/>
        <w:bottom w:val="none" w:sz="0" w:space="0" w:color="auto"/>
        <w:right w:val="none" w:sz="0" w:space="0" w:color="auto"/>
      </w:divBdr>
    </w:div>
    <w:div w:id="1198663766">
      <w:bodyDiv w:val="1"/>
      <w:marLeft w:val="0"/>
      <w:marRight w:val="0"/>
      <w:marTop w:val="0"/>
      <w:marBottom w:val="0"/>
      <w:divBdr>
        <w:top w:val="none" w:sz="0" w:space="0" w:color="auto"/>
        <w:left w:val="none" w:sz="0" w:space="0" w:color="auto"/>
        <w:bottom w:val="none" w:sz="0" w:space="0" w:color="auto"/>
        <w:right w:val="none" w:sz="0" w:space="0" w:color="auto"/>
      </w:divBdr>
    </w:div>
    <w:div w:id="1343239863">
      <w:bodyDiv w:val="1"/>
      <w:marLeft w:val="0"/>
      <w:marRight w:val="0"/>
      <w:marTop w:val="0"/>
      <w:marBottom w:val="0"/>
      <w:divBdr>
        <w:top w:val="none" w:sz="0" w:space="0" w:color="auto"/>
        <w:left w:val="none" w:sz="0" w:space="0" w:color="auto"/>
        <w:bottom w:val="none" w:sz="0" w:space="0" w:color="auto"/>
        <w:right w:val="none" w:sz="0" w:space="0" w:color="auto"/>
      </w:divBdr>
    </w:div>
    <w:div w:id="1391884538">
      <w:bodyDiv w:val="1"/>
      <w:marLeft w:val="0"/>
      <w:marRight w:val="0"/>
      <w:marTop w:val="0"/>
      <w:marBottom w:val="0"/>
      <w:divBdr>
        <w:top w:val="none" w:sz="0" w:space="0" w:color="auto"/>
        <w:left w:val="none" w:sz="0" w:space="0" w:color="auto"/>
        <w:bottom w:val="none" w:sz="0" w:space="0" w:color="auto"/>
        <w:right w:val="none" w:sz="0" w:space="0" w:color="auto"/>
      </w:divBdr>
    </w:div>
    <w:div w:id="1411001348">
      <w:bodyDiv w:val="1"/>
      <w:marLeft w:val="0"/>
      <w:marRight w:val="0"/>
      <w:marTop w:val="0"/>
      <w:marBottom w:val="0"/>
      <w:divBdr>
        <w:top w:val="none" w:sz="0" w:space="0" w:color="auto"/>
        <w:left w:val="none" w:sz="0" w:space="0" w:color="auto"/>
        <w:bottom w:val="none" w:sz="0" w:space="0" w:color="auto"/>
        <w:right w:val="none" w:sz="0" w:space="0" w:color="auto"/>
      </w:divBdr>
    </w:div>
    <w:div w:id="1615791437">
      <w:bodyDiv w:val="1"/>
      <w:marLeft w:val="0"/>
      <w:marRight w:val="0"/>
      <w:marTop w:val="0"/>
      <w:marBottom w:val="0"/>
      <w:divBdr>
        <w:top w:val="none" w:sz="0" w:space="0" w:color="auto"/>
        <w:left w:val="none" w:sz="0" w:space="0" w:color="auto"/>
        <w:bottom w:val="none" w:sz="0" w:space="0" w:color="auto"/>
        <w:right w:val="none" w:sz="0" w:space="0" w:color="auto"/>
      </w:divBdr>
      <w:divsChild>
        <w:div w:id="617612694">
          <w:marLeft w:val="0"/>
          <w:marRight w:val="0"/>
          <w:marTop w:val="0"/>
          <w:marBottom w:val="0"/>
          <w:divBdr>
            <w:top w:val="none" w:sz="0" w:space="0" w:color="auto"/>
            <w:left w:val="none" w:sz="0" w:space="0" w:color="auto"/>
            <w:bottom w:val="none" w:sz="0" w:space="0" w:color="auto"/>
            <w:right w:val="none" w:sz="0" w:space="0" w:color="auto"/>
          </w:divBdr>
          <w:divsChild>
            <w:div w:id="746197695">
              <w:marLeft w:val="0"/>
              <w:marRight w:val="0"/>
              <w:marTop w:val="0"/>
              <w:marBottom w:val="0"/>
              <w:divBdr>
                <w:top w:val="none" w:sz="0" w:space="0" w:color="auto"/>
                <w:left w:val="none" w:sz="0" w:space="0" w:color="auto"/>
                <w:bottom w:val="none" w:sz="0" w:space="0" w:color="auto"/>
                <w:right w:val="none" w:sz="0" w:space="0" w:color="auto"/>
              </w:divBdr>
              <w:divsChild>
                <w:div w:id="291375449">
                  <w:marLeft w:val="0"/>
                  <w:marRight w:val="0"/>
                  <w:marTop w:val="0"/>
                  <w:marBottom w:val="0"/>
                  <w:divBdr>
                    <w:top w:val="none" w:sz="0" w:space="0" w:color="auto"/>
                    <w:left w:val="none" w:sz="0" w:space="0" w:color="auto"/>
                    <w:bottom w:val="none" w:sz="0" w:space="0" w:color="auto"/>
                    <w:right w:val="none" w:sz="0" w:space="0" w:color="auto"/>
                  </w:divBdr>
                  <w:divsChild>
                    <w:div w:id="18452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25191">
      <w:bodyDiv w:val="1"/>
      <w:marLeft w:val="0"/>
      <w:marRight w:val="0"/>
      <w:marTop w:val="0"/>
      <w:marBottom w:val="0"/>
      <w:divBdr>
        <w:top w:val="none" w:sz="0" w:space="0" w:color="auto"/>
        <w:left w:val="none" w:sz="0" w:space="0" w:color="auto"/>
        <w:bottom w:val="none" w:sz="0" w:space="0" w:color="auto"/>
        <w:right w:val="none" w:sz="0" w:space="0" w:color="auto"/>
      </w:divBdr>
    </w:div>
    <w:div w:id="1770615704">
      <w:bodyDiv w:val="1"/>
      <w:marLeft w:val="0"/>
      <w:marRight w:val="0"/>
      <w:marTop w:val="0"/>
      <w:marBottom w:val="0"/>
      <w:divBdr>
        <w:top w:val="none" w:sz="0" w:space="0" w:color="auto"/>
        <w:left w:val="none" w:sz="0" w:space="0" w:color="auto"/>
        <w:bottom w:val="none" w:sz="0" w:space="0" w:color="auto"/>
        <w:right w:val="none" w:sz="0" w:space="0" w:color="auto"/>
      </w:divBdr>
    </w:div>
    <w:div w:id="1912545739">
      <w:bodyDiv w:val="1"/>
      <w:marLeft w:val="0"/>
      <w:marRight w:val="0"/>
      <w:marTop w:val="0"/>
      <w:marBottom w:val="0"/>
      <w:divBdr>
        <w:top w:val="none" w:sz="0" w:space="0" w:color="auto"/>
        <w:left w:val="none" w:sz="0" w:space="0" w:color="auto"/>
        <w:bottom w:val="none" w:sz="0" w:space="0" w:color="auto"/>
        <w:right w:val="none" w:sz="0" w:space="0" w:color="auto"/>
      </w:divBdr>
    </w:div>
    <w:div w:id="2084796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nVH95I5HnW3PvWbHJ4wMLf9EyQ==">CgMxLjA4AHIhMUp2Q3BHdC1WN1VWT2V0Q2dJU3hkUTRDeFpid3hkaWN2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1085</Words>
  <Characters>6187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Азат Мухамеджанов</dc:creator>
  <cp:lastModifiedBy>Учетная запись Майкрософт</cp:lastModifiedBy>
  <cp:revision>3</cp:revision>
  <cp:lastPrinted>2026-02-09T10:25:00Z</cp:lastPrinted>
  <dcterms:created xsi:type="dcterms:W3CDTF">2026-05-18T10:14:00Z</dcterms:created>
  <dcterms:modified xsi:type="dcterms:W3CDTF">2026-05-28T11:52:00Z</dcterms:modified>
</cp:coreProperties>
</file>