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876" w:rsidRPr="00444876" w:rsidRDefault="00444876" w:rsidP="00444876">
      <w:pPr>
        <w:spacing w:after="0" w:line="240" w:lineRule="auto"/>
        <w:ind w:left="9360" w:firstLine="113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444876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Приложение -1</w:t>
      </w:r>
    </w:p>
    <w:p w:rsidR="00444876" w:rsidRPr="00444876" w:rsidRDefault="00444876" w:rsidP="00444876">
      <w:pPr>
        <w:spacing w:after="0" w:line="240" w:lineRule="auto"/>
        <w:ind w:left="1049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444876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к приказу руководителя отдела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внутренне</w:t>
      </w:r>
      <w:r w:rsidRPr="00444876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й политики </w:t>
      </w:r>
      <w:proofErr w:type="spellStart"/>
      <w:r w:rsidRPr="00444876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Мунайлинского</w:t>
      </w:r>
      <w:proofErr w:type="spellEnd"/>
      <w:r w:rsidRPr="00444876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района №01-04/11-нқ от 13 марта 2026 года</w:t>
      </w:r>
    </w:p>
    <w:p w:rsidR="00444876" w:rsidRDefault="00444876" w:rsidP="00444876">
      <w:pPr>
        <w:spacing w:after="0" w:line="240" w:lineRule="auto"/>
        <w:ind w:left="108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444876" w:rsidRPr="00444876" w:rsidRDefault="00444876" w:rsidP="00444876">
      <w:pPr>
        <w:spacing w:after="0" w:line="240" w:lineRule="auto"/>
        <w:ind w:left="108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6D53B3" w:rsidRDefault="007863F7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приоритетных направлений государственных грантов для неправительственных организаций на 2026 год</w:t>
      </w:r>
    </w:p>
    <w:tbl>
      <w:tblPr>
        <w:tblStyle w:val="af"/>
        <w:tblW w:w="16297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"/>
        <w:gridCol w:w="1560"/>
        <w:gridCol w:w="1806"/>
        <w:gridCol w:w="3788"/>
        <w:gridCol w:w="1418"/>
        <w:gridCol w:w="1065"/>
        <w:gridCol w:w="1280"/>
        <w:gridCol w:w="3370"/>
        <w:gridCol w:w="1514"/>
      </w:tblGrid>
      <w:tr w:rsidR="006D53B3" w:rsidTr="006723C0">
        <w:trPr>
          <w:trHeight w:val="3584"/>
        </w:trPr>
        <w:tc>
          <w:tcPr>
            <w:tcW w:w="496" w:type="dxa"/>
            <w:shd w:val="clear" w:color="auto" w:fill="DBE5F1" w:themeFill="accent1" w:themeFillTint="33"/>
          </w:tcPr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D53B3" w:rsidRPr="00D1199A" w:rsidRDefault="007863F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№ р/с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Сфера государственного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гранта согласно пункту 1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статьи 5 Закона</w:t>
            </w:r>
          </w:p>
        </w:tc>
        <w:tc>
          <w:tcPr>
            <w:tcW w:w="1806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Направление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государственного гранта</w:t>
            </w:r>
          </w:p>
        </w:tc>
        <w:tc>
          <w:tcPr>
            <w:tcW w:w="3788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 xml:space="preserve">Краткое описание проблемы </w:t>
            </w:r>
          </w:p>
        </w:tc>
        <w:tc>
          <w:tcPr>
            <w:tcW w:w="1418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Объем финансирования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(тысячи тенге)</w:t>
            </w:r>
          </w:p>
        </w:tc>
        <w:tc>
          <w:tcPr>
            <w:tcW w:w="1065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Вид гранта и срок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реализации гранта</w:t>
            </w:r>
          </w:p>
        </w:tc>
        <w:tc>
          <w:tcPr>
            <w:tcW w:w="1280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Территория реализации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гранта (в соответствии с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пунктом 6 настоящих</w:t>
            </w:r>
          </w:p>
          <w:p w:rsidR="006D53B3" w:rsidRPr="00D1199A" w:rsidRDefault="006D53B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370" w:type="dxa"/>
            <w:shd w:val="clear" w:color="auto" w:fill="DBE5F1" w:themeFill="accent1" w:themeFillTint="33"/>
            <w:vAlign w:val="center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Целевой индикатор и</w:t>
            </w:r>
          </w:p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</w:t>
            </w:r>
          </w:p>
        </w:tc>
        <w:tc>
          <w:tcPr>
            <w:tcW w:w="1514" w:type="dxa"/>
            <w:shd w:val="clear" w:color="auto" w:fill="DBE5F1" w:themeFill="accent1" w:themeFillTint="33"/>
            <w:vAlign w:val="center"/>
          </w:tcPr>
          <w:p w:rsidR="006D53B3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Требования к</w:t>
            </w:r>
          </w:p>
          <w:p w:rsidR="006D53B3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материально-технической</w:t>
            </w:r>
          </w:p>
          <w:p w:rsidR="006D53B3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базе (устанавливаются</w:t>
            </w:r>
          </w:p>
          <w:p w:rsidR="006D53B3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только при реализации</w:t>
            </w:r>
          </w:p>
          <w:p w:rsidR="006D53B3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долгосрочных грантов)</w:t>
            </w:r>
          </w:p>
          <w:p w:rsidR="006D53B3" w:rsidRDefault="006D53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6D53B3" w:rsidRDefault="006D53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D53B3" w:rsidTr="006723C0">
        <w:trPr>
          <w:trHeight w:val="490"/>
        </w:trPr>
        <w:tc>
          <w:tcPr>
            <w:tcW w:w="496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6D53B3" w:rsidRPr="00D1199A" w:rsidRDefault="007863F7">
            <w:pPr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  <w:highlight w:val="white"/>
              </w:rPr>
              <w:t>Содействие решению семейно-демографических и гендерных вопросов</w:t>
            </w:r>
          </w:p>
        </w:tc>
        <w:tc>
          <w:tcPr>
            <w:tcW w:w="1806" w:type="dxa"/>
          </w:tcPr>
          <w:p w:rsidR="0089724D" w:rsidRDefault="0089724D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89724D" w:rsidRPr="0089724D" w:rsidRDefault="0089724D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5649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Организация мероприятий по профилактике домашнего насилия, наркомании, азартных игр, вандализма и расточительности в рамках </w:t>
            </w:r>
            <w:r w:rsidRPr="005649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программы «Салауатты сана»</w:t>
            </w:r>
          </w:p>
        </w:tc>
        <w:tc>
          <w:tcPr>
            <w:tcW w:w="3788" w:type="dxa"/>
          </w:tcPr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lastRenderedPageBreak/>
              <w:t xml:space="preserve">В настоящее время в обществе актуальной проблемой остается распространение таких негативных социальных явлений, как бытовое насилие, наркомания, азартные игры (лудомания), вандализм и расточительство. Данная ситуация особенно негативно отражается на подростках и молодежи, приводя к формированию девиантного поведения, росту правонарушений и снижению уровня социальной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адаптации.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По итогам 12 месяцев 2025 года:</w:t>
            </w:r>
            <w:r w:rsidRPr="00D1199A">
              <w:rPr>
                <w:rFonts w:ascii="Times New Roman" w:eastAsia="Times New Roman" w:hAnsi="Times New Roman" w:cs="Times New Roman"/>
              </w:rPr>
              <w:br/>
              <w:t xml:space="preserve"> – в 36 семьях зафиксированы факты бытовых правонарушений;</w:t>
            </w:r>
            <w:r w:rsidRPr="00D1199A">
              <w:rPr>
                <w:rFonts w:ascii="Times New Roman" w:eastAsia="Times New Roman" w:hAnsi="Times New Roman" w:cs="Times New Roman"/>
              </w:rPr>
              <w:br/>
              <w:t xml:space="preserve"> – 70 неблагополучных семей поставлены на профилактический учет;</w:t>
            </w:r>
            <w:r w:rsidRPr="00D1199A">
              <w:rPr>
                <w:rFonts w:ascii="Times New Roman" w:eastAsia="Times New Roman" w:hAnsi="Times New Roman" w:cs="Times New Roman"/>
              </w:rPr>
              <w:br/>
              <w:t xml:space="preserve"> – зарегистрировано 782 защитных предписания.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По итогам года проблема наркомании в Мунайлинском районе сохраняет актуальность. Регистрируются правонарушения, связанные с употреблением и незаконным оборотом наркотических средств, что оказывает негативное влияние на здоровье молодежи и уровень общественной безопасности.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Лудомания (зависимость от азартных игр) по итогам текущего года также остается одной из значимых социальных проблем. Рост увлечения азартными играми приводит к формированию зависимости среди молодежи и трудоспособного населения, увеличению финансовых трудностей и числа семейных конфликтов.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Указанные факторы свидетельствуют о недостаточности профилактических мер и низком уровне контроля за данными социальными явлениями.</w:t>
            </w:r>
          </w:p>
          <w:p w:rsidR="006D53B3" w:rsidRPr="00D1199A" w:rsidRDefault="006D53B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6D53B3" w:rsidRPr="00D1199A" w:rsidRDefault="006D53B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4 500, 00</w:t>
            </w:r>
          </w:p>
        </w:tc>
        <w:tc>
          <w:tcPr>
            <w:tcW w:w="1065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 краткосрочный грант, 2026 год * в соответствии с пунктом 71 настоящих Правил</w:t>
            </w:r>
          </w:p>
        </w:tc>
        <w:tc>
          <w:tcPr>
            <w:tcW w:w="1280" w:type="dxa"/>
          </w:tcPr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Мангистауская область, Мунайлинский район</w:t>
            </w:r>
          </w:p>
        </w:tc>
        <w:tc>
          <w:tcPr>
            <w:tcW w:w="3370" w:type="dxa"/>
          </w:tcPr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Целевой индикатор.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highlight w:val="red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1. Прямой охват проекта - не менее 1000 участников;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2. Уровень удовлетворенности участников проекта - не менее 70% (по итогам анкетирования). 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lastRenderedPageBreak/>
              <w:t>1. Организация и проведение форума «Ауыл әйелдері» в целях профилактики бытового насилия с приглашением делегатов, гостей и спикеров из не менее 2 городов и не менее 5 районов Мангистауской области</w:t>
            </w:r>
            <w:r w:rsidR="00D8253D">
              <w:rPr>
                <w:rFonts w:ascii="Times New Roman" w:eastAsia="Times New Roman" w:hAnsi="Times New Roman" w:cs="Times New Roman"/>
                <w:lang w:val="ru-RU"/>
              </w:rPr>
              <w:t>, обеспечения</w:t>
            </w:r>
            <w:r w:rsidR="00D8253D" w:rsidRPr="00D8253D">
              <w:rPr>
                <w:rFonts w:ascii="Times New Roman" w:eastAsia="Times New Roman" w:hAnsi="Times New Roman" w:cs="Times New Roman"/>
                <w:lang w:val="ru-RU"/>
              </w:rPr>
              <w:t xml:space="preserve"> участи</w:t>
            </w:r>
            <w:r w:rsidR="00D8253D">
              <w:rPr>
                <w:rFonts w:ascii="Times New Roman" w:eastAsia="Times New Roman" w:hAnsi="Times New Roman" w:cs="Times New Roman"/>
                <w:lang w:val="ru-RU"/>
              </w:rPr>
              <w:t>я не менее 200 человек в форуме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. Организация  выставки участникам в рамках форума  «Ауыл әйелдері» 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t>(по согласованию с Заказчиком)</w:t>
            </w:r>
            <w:r w:rsidRPr="00D1199A">
              <w:rPr>
                <w:rFonts w:ascii="Times New Roman" w:eastAsia="Times New Roman" w:hAnsi="Times New Roman" w:cs="Times New Roman"/>
              </w:rPr>
              <w:t>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2. В целях профилактики вандализма — организация и проведение тимбилдингового мероприятия с участием 40 человек на туристической территории «Ыбықты сай» в пределах района 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t>(по согласованию с Заказчиком)</w:t>
            </w:r>
            <w:r w:rsidRPr="00D1199A">
              <w:rPr>
                <w:rFonts w:ascii="Times New Roman" w:eastAsia="Times New Roman" w:hAnsi="Times New Roman" w:cs="Times New Roman"/>
              </w:rPr>
              <w:t>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3. Организация и проведение не менее 5 встреч для молодежи в формате TED-x на тему «5 социальных пороков, предста</w:t>
            </w:r>
            <w:r w:rsidR="00802E45">
              <w:rPr>
                <w:rFonts w:ascii="Times New Roman" w:eastAsia="Times New Roman" w:hAnsi="Times New Roman" w:cs="Times New Roman"/>
              </w:rPr>
              <w:t xml:space="preserve">вляющих угрозу для общества» с </w:t>
            </w:r>
            <w:r w:rsidR="00802E45">
              <w:rPr>
                <w:rFonts w:ascii="Times New Roman" w:eastAsia="Times New Roman" w:hAnsi="Times New Roman" w:cs="Times New Roman"/>
                <w:lang w:val="kk-KZ"/>
              </w:rPr>
              <w:t xml:space="preserve">общим охватом </w:t>
            </w:r>
            <w:r w:rsidRPr="00D1199A">
              <w:rPr>
                <w:rFonts w:ascii="Times New Roman" w:eastAsia="Times New Roman" w:hAnsi="Times New Roman" w:cs="Times New Roman"/>
              </w:rPr>
              <w:t>не менее 700 человек;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4. Организация и проведение дебатного турнира среди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молодежи с участием 30 человек на тему  «Нашақорлық - ғасыр дерті» с награждением победителей (I место – 40 000 ₸, II место – 30 000 ₸, III место – 20 000 ₸), вручением дипломов и памятных сувениров;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5. Организация и проведение квест-игры с викторинальными вопросами с участием 30 человек на тему «Құмар ойындар — күйреуге апарар жол» с награждением победителей (I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="00E04D01">
              <w:rPr>
                <w:rFonts w:ascii="Times New Roman" w:eastAsia="Times New Roman" w:hAnsi="Times New Roman" w:cs="Times New Roman"/>
              </w:rPr>
              <w:t xml:space="preserve"> – 40</w:t>
            </w:r>
            <w:r w:rsidR="00E04D01">
              <w:rPr>
                <w:rFonts w:ascii="Times New Roman" w:eastAsia="Times New Roman" w:hAnsi="Times New Roman" w:cs="Times New Roman"/>
                <w:lang w:val="kk-KZ"/>
              </w:rPr>
              <w:t xml:space="preserve"> 000 </w:t>
            </w:r>
            <w:r w:rsidR="00E04D01" w:rsidRPr="00D1199A">
              <w:rPr>
                <w:rFonts w:ascii="Times New Roman" w:eastAsia="Times New Roman" w:hAnsi="Times New Roman" w:cs="Times New Roman"/>
              </w:rPr>
              <w:t>₸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, II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="00E04D01">
              <w:rPr>
                <w:rFonts w:ascii="Times New Roman" w:eastAsia="Times New Roman" w:hAnsi="Times New Roman" w:cs="Times New Roman"/>
              </w:rPr>
              <w:t xml:space="preserve"> – 30</w:t>
            </w:r>
            <w:r w:rsidR="00E04D01">
              <w:rPr>
                <w:rFonts w:ascii="Times New Roman" w:eastAsia="Times New Roman" w:hAnsi="Times New Roman" w:cs="Times New Roman"/>
                <w:lang w:val="ru-RU"/>
              </w:rPr>
              <w:t xml:space="preserve"> 000 </w:t>
            </w:r>
            <w:r w:rsidR="00E04D01" w:rsidRPr="00D1199A">
              <w:rPr>
                <w:rFonts w:ascii="Times New Roman" w:eastAsia="Times New Roman" w:hAnsi="Times New Roman" w:cs="Times New Roman"/>
              </w:rPr>
              <w:t>₸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, III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- 20</w:t>
            </w:r>
            <w:r w:rsidR="00E04D01">
              <w:rPr>
                <w:rFonts w:ascii="Times New Roman" w:eastAsia="Times New Roman" w:hAnsi="Times New Roman" w:cs="Times New Roman"/>
              </w:rPr>
              <w:t> </w:t>
            </w:r>
            <w:r w:rsidR="00E04D01">
              <w:rPr>
                <w:rFonts w:ascii="Times New Roman" w:eastAsia="Times New Roman" w:hAnsi="Times New Roman" w:cs="Times New Roman"/>
                <w:lang w:val="kk-KZ"/>
              </w:rPr>
              <w:t xml:space="preserve">000 </w:t>
            </w:r>
            <w:r w:rsidR="00E04D01" w:rsidRPr="00D1199A">
              <w:rPr>
                <w:rFonts w:ascii="Times New Roman" w:eastAsia="Times New Roman" w:hAnsi="Times New Roman" w:cs="Times New Roman"/>
              </w:rPr>
              <w:t>₸</w:t>
            </w:r>
            <w:bookmarkStart w:id="0" w:name="_GoBack"/>
            <w:bookmarkEnd w:id="0"/>
            <w:r w:rsidRPr="00D1199A">
              <w:rPr>
                <w:rFonts w:ascii="Times New Roman" w:eastAsia="Times New Roman" w:hAnsi="Times New Roman" w:cs="Times New Roman"/>
              </w:rPr>
              <w:t>), вручением дипломов и памятных сувениров;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6. Организация и проведение поэтического конкурса (мүшәйра) среди молодых авторов с участием 20 человек на тему «Расточительство» с награждением победителей (I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- 40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тыс</w:t>
            </w:r>
            <w:r w:rsidR="00F164AD">
              <w:rPr>
                <w:rFonts w:ascii="Times New Roman" w:eastAsia="Times New Roman" w:hAnsi="Times New Roman" w:cs="Times New Roman"/>
              </w:rPr>
              <w:t xml:space="preserve"> те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н</w:t>
            </w:r>
            <w:r w:rsidR="00F164AD" w:rsidRPr="00D1199A">
              <w:rPr>
                <w:rFonts w:ascii="Times New Roman" w:eastAsia="Times New Roman" w:hAnsi="Times New Roman" w:cs="Times New Roman"/>
              </w:rPr>
              <w:t>ге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, II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- 30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тыс</w:t>
            </w:r>
            <w:r w:rsidR="00F164AD">
              <w:rPr>
                <w:rFonts w:ascii="Times New Roman" w:eastAsia="Times New Roman" w:hAnsi="Times New Roman" w:cs="Times New Roman"/>
              </w:rPr>
              <w:t xml:space="preserve"> те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н</w:t>
            </w:r>
            <w:r w:rsidR="00F164AD" w:rsidRPr="00D1199A">
              <w:rPr>
                <w:rFonts w:ascii="Times New Roman" w:eastAsia="Times New Roman" w:hAnsi="Times New Roman" w:cs="Times New Roman"/>
              </w:rPr>
              <w:t>ге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, III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место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- 20 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тыс</w:t>
            </w:r>
            <w:r w:rsidR="00F164AD">
              <w:rPr>
                <w:rFonts w:ascii="Times New Roman" w:eastAsia="Times New Roman" w:hAnsi="Times New Roman" w:cs="Times New Roman"/>
              </w:rPr>
              <w:t xml:space="preserve"> те</w:t>
            </w:r>
            <w:r w:rsidR="00F164AD">
              <w:rPr>
                <w:rFonts w:ascii="Times New Roman" w:eastAsia="Times New Roman" w:hAnsi="Times New Roman" w:cs="Times New Roman"/>
                <w:lang w:val="kk-KZ"/>
              </w:rPr>
              <w:t>н</w:t>
            </w:r>
            <w:r w:rsidR="00F164AD" w:rsidRPr="00D1199A">
              <w:rPr>
                <w:rFonts w:ascii="Times New Roman" w:eastAsia="Times New Roman" w:hAnsi="Times New Roman" w:cs="Times New Roman"/>
              </w:rPr>
              <w:t>ге</w:t>
            </w:r>
            <w:r w:rsidRPr="00D1199A">
              <w:rPr>
                <w:rFonts w:ascii="Times New Roman" w:eastAsia="Times New Roman" w:hAnsi="Times New Roman" w:cs="Times New Roman"/>
              </w:rPr>
              <w:t>), вручением дипломов и памятных сувениров;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7. Создание и установка 4 настенных брендмауэров на тему «5 социальных пороков» 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t xml:space="preserve">(по 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согласованию с заказчиком)</w:t>
            </w:r>
            <w:r w:rsidRPr="00D1199A">
              <w:rPr>
                <w:rFonts w:ascii="Times New Roman" w:eastAsia="Times New Roman" w:hAnsi="Times New Roman" w:cs="Times New Roman"/>
              </w:rPr>
              <w:t>;</w:t>
            </w:r>
          </w:p>
          <w:p w:rsidR="006D53B3" w:rsidRPr="00D1199A" w:rsidRDefault="007863F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8.Информационное сопровождение проекта в социальных сетях с охватом не менее 5000 просмотров.</w:t>
            </w:r>
          </w:p>
        </w:tc>
        <w:tc>
          <w:tcPr>
            <w:tcW w:w="1514" w:type="dxa"/>
          </w:tcPr>
          <w:p w:rsidR="006D53B3" w:rsidRDefault="006D53B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D53B3" w:rsidTr="006723C0">
        <w:trPr>
          <w:trHeight w:val="1210"/>
        </w:trPr>
        <w:tc>
          <w:tcPr>
            <w:tcW w:w="496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560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  <w:highlight w:val="white"/>
              </w:rPr>
              <w:t>Защита прав, законных интересов граждан и организаций</w:t>
            </w:r>
          </w:p>
        </w:tc>
        <w:tc>
          <w:tcPr>
            <w:tcW w:w="1806" w:type="dxa"/>
          </w:tcPr>
          <w:p w:rsidR="006D53B3" w:rsidRPr="00593A2D" w:rsidRDefault="00593A2D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Избежание и предупреждение коррупционных рисков в обществе</w:t>
            </w:r>
          </w:p>
        </w:tc>
        <w:tc>
          <w:tcPr>
            <w:tcW w:w="3788" w:type="dxa"/>
          </w:tcPr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В Мунайлинском районе Мангистауской области сохраняется необходимость системного повышения уровня правовой грамотности населения и формирования устойчивой антикоррупционной культуры. Несмотря на проводимую государством политику в сфере противодействия коррупции, уровень практического понимания гражданами механизмов защиты своих прав, а также инструментов предупреждения коррупционных рисков остается недостаточным. Антикоррупционная повестка нередко воспринимается формально, без глубокого осмысления ее социальной и личной значимости.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Проблема носит комплексный характер и затрагивает различные социальные группы. Среди молодежи наблюдается ограниченное вовлечение в содержательные дискуссии о принципах честности, законности и ответственности. У государственных и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квазигосударственных служащих сохраняется потребность в укреплении ценностей добропорядочности и открытости как неотъемлемой части профессиональной этики. В сельских населенных пунктах доступ к качественным просветительским мероприятиям и интерактивным образовательным форматам остается ограниченным, что снижает общий уровень правовой информированности населения.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Отсутствие системных и современных форматов работы — таких как интеллектуальные конкурсы, дебаты, публичные обсуждения, аналитические опросы и цифровой контент — не позволяет в полной мере сформировать устойчивую общественную нетерпимость к коррупционным проявлениям. В результате сохраняются риски снижения доверия к государственным институтам и недостаточной вовлеченности граждан в процессы обеспечения законности и прозрачности.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Таким образом, в регионе существует объективная потребность в комплексной профилактической и просветительской работе, направленной на формирование правовой культуры, укрепление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принципов честности и открытости, а также популяризацию ценностей добропорядочности в государственной службе и общественной среде.</w:t>
            </w:r>
          </w:p>
          <w:p w:rsidR="006D53B3" w:rsidRPr="00D1199A" w:rsidRDefault="006D53B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6D53B3" w:rsidRPr="00D1199A" w:rsidRDefault="007863F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 4 300, 00</w:t>
            </w:r>
          </w:p>
        </w:tc>
        <w:tc>
          <w:tcPr>
            <w:tcW w:w="1065" w:type="dxa"/>
          </w:tcPr>
          <w:p w:rsidR="006D53B3" w:rsidRPr="00D1199A" w:rsidRDefault="007863F7">
            <w:pPr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 краткосрочный грант, 2026 год * в соответствии с пунктом 71 настоящих Правил</w:t>
            </w:r>
          </w:p>
        </w:tc>
        <w:tc>
          <w:tcPr>
            <w:tcW w:w="1280" w:type="dxa"/>
          </w:tcPr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Мангистауская область, Мунайлинский район</w:t>
            </w:r>
          </w:p>
        </w:tc>
        <w:tc>
          <w:tcPr>
            <w:tcW w:w="3370" w:type="dxa"/>
          </w:tcPr>
          <w:p w:rsidR="006D53B3" w:rsidRPr="00D1199A" w:rsidRDefault="007863F7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:rsidR="006D53B3" w:rsidRPr="00D1199A" w:rsidRDefault="007863F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1. Прямой охват - не менее 400 участников  проекта;</w:t>
            </w:r>
          </w:p>
          <w:p w:rsidR="006D53B3" w:rsidRPr="00D1199A" w:rsidRDefault="007863F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2. Информационный охват проекта - не менее 10 000 просмотров.</w:t>
            </w:r>
          </w:p>
          <w:p w:rsidR="006D53B3" w:rsidRPr="00D1199A" w:rsidRDefault="006D53B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6D53B3" w:rsidRPr="00D1199A" w:rsidRDefault="007863F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1.Организация и проведение конкурса Quiz «Парасатты отбасы» среди жителей Мунайлинского района с участием не менее 35 человек с награждением победителей денежными призами (I место – 100 000 ₸, II место – 75 000 ₸, III место – 50 000 ₸) и вручением дипломов и памятных сувениров; 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2.Организация и проведение конкурса эссе «</w:t>
            </w:r>
            <w:r w:rsidR="006A26C2">
              <w:rPr>
                <w:rFonts w:ascii="Times New Roman" w:eastAsia="Times New Roman" w:hAnsi="Times New Roman" w:cs="Times New Roman"/>
                <w:lang w:val="kk-KZ"/>
              </w:rPr>
              <w:t>Коррупция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– предательство будущего» с участием не менее 15 государственных служащих с награждением победителей денежными призами (I место – 70 000 ₸, II место – 50 000 ₸, III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место – 30 000 ₸) и вручением дипломов и памятных сувениров;</w:t>
            </w:r>
          </w:p>
          <w:p w:rsidR="006D53B3" w:rsidRPr="00D1199A" w:rsidRDefault="007863F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3.Организация и проведение Debate-турнира с участием не менее 40 молодых людей по противодействию коррупции с награждением победителей денежными призами (I место – 50 000 ₸, II место – 40 000 ₸, III место – 30 000 ₸) и вручением дипломов и памятных сувениров;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4. Организация и проведение конкурса эссе «</w:t>
            </w:r>
            <w:r w:rsidR="005936BC">
              <w:rPr>
                <w:rFonts w:ascii="Times New Roman" w:eastAsia="Times New Roman" w:hAnsi="Times New Roman" w:cs="Times New Roman"/>
                <w:lang w:val="ru-RU"/>
              </w:rPr>
              <w:t>Коррупция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 – препятствие развитию общества» с участием не менее  20 сотрудников правоохранительных органов с награждением победителей денежными призами (I место – 70 000 ₸, II место – 50 000 ₸, III место – 30 000 ₸) и вручением дипломов и памятных сувениров;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5. Организация и проведение Quiz «Принцип честности в государственной службе» с участием не менее 40 государственных служащих 2 городов и 5 районов с награждением победителей денежными призами (I место – 500 000 ₸, II место – 300 000 ₸,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>III место – 100 000 ₸) и  вручением дипломов и памятных сувениров;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6. Организация и проведение встречи в формате Ted-x среди школьников на тему «</w:t>
            </w:r>
            <w:r w:rsidR="00A86704" w:rsidRPr="00A86704">
              <w:rPr>
                <w:rFonts w:ascii="Times New Roman" w:eastAsia="Times New Roman" w:hAnsi="Times New Roman" w:cs="Times New Roman"/>
              </w:rPr>
              <w:t xml:space="preserve">Честность </w:t>
            </w:r>
            <w:r w:rsidR="00A86704">
              <w:rPr>
                <w:rFonts w:ascii="Times New Roman" w:eastAsia="Times New Roman" w:hAnsi="Times New Roman" w:cs="Times New Roman"/>
                <w:lang w:val="ru-RU"/>
              </w:rPr>
              <w:t xml:space="preserve">-  </w:t>
            </w:r>
            <w:r w:rsidR="00A86704" w:rsidRPr="00A86704">
              <w:rPr>
                <w:rFonts w:ascii="Times New Roman" w:eastAsia="Times New Roman" w:hAnsi="Times New Roman" w:cs="Times New Roman"/>
              </w:rPr>
              <w:t>дело чести</w:t>
            </w:r>
            <w:r w:rsidRPr="00D1199A">
              <w:rPr>
                <w:rFonts w:ascii="Times New Roman" w:eastAsia="Times New Roman" w:hAnsi="Times New Roman" w:cs="Times New Roman"/>
              </w:rPr>
              <w:t>» с привлечением известных личностей и представителей правоохранительных органов. Количество участников - 200 человек;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7. Разработка видеоролика с использованием искусственного интеллекта на тему противодействия коррупции 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t xml:space="preserve">(по согласованию с Заказчиком) </w:t>
            </w:r>
            <w:r w:rsidRPr="00D1199A">
              <w:rPr>
                <w:rFonts w:ascii="Times New Roman" w:eastAsia="Times New Roman" w:hAnsi="Times New Roman" w:cs="Times New Roman"/>
              </w:rPr>
              <w:t>с охватом 5 000 просмотров;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8. Организация и проведение квест-игры «</w:t>
            </w:r>
            <w:r w:rsidR="004C5576" w:rsidRPr="004C5576">
              <w:rPr>
                <w:rFonts w:ascii="Times New Roman" w:eastAsia="Times New Roman" w:hAnsi="Times New Roman" w:cs="Times New Roman"/>
              </w:rPr>
              <w:t>Знание закона — залог безопасной жизни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» в рамках «Закон и порядок»  с участием не менее 30 школьников с викторинальными вопросами, награждением победителей денежными призами (I место – 30 000 ₸, II место – 20 000 ₸, III место – 10 000 ₸) и вручением дипломов и памятных сувениров;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9. Проведение онлайн-опроса среди 10 000  жителей 7 сел о коррупции и подготовка </w:t>
            </w:r>
            <w:r w:rsidRPr="00D1199A">
              <w:rPr>
                <w:rFonts w:ascii="Times New Roman" w:eastAsia="Times New Roman" w:hAnsi="Times New Roman" w:cs="Times New Roman"/>
              </w:rPr>
              <w:lastRenderedPageBreak/>
              <w:t xml:space="preserve">аналитической справки; 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 xml:space="preserve">10. Проведение конкурса с участием не менее 10 государственных и квазигосударственных служащих за публикации о коррупции в личных соцсетях и СМИ с денежными призами (I место – 40 000 ₸, II место – 30 000 ₸, III место – 20 000 ₸) и вручением дипломов и памятных сувениров;  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11. Установка 2 баннеров по теме противодействия коррупции</w:t>
            </w:r>
            <w:r w:rsidRPr="00D1199A">
              <w:rPr>
                <w:rFonts w:ascii="Times New Roman" w:eastAsia="Times New Roman" w:hAnsi="Times New Roman" w:cs="Times New Roman"/>
                <w:i/>
                <w:iCs/>
              </w:rPr>
              <w:t xml:space="preserve"> (по согласованию с Заказчиком)</w:t>
            </w:r>
            <w:r w:rsidRPr="00D1199A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6D53B3" w:rsidRPr="00D1199A" w:rsidRDefault="007863F7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 w:rsidRPr="00D1199A">
              <w:rPr>
                <w:rFonts w:ascii="Times New Roman" w:eastAsia="Times New Roman" w:hAnsi="Times New Roman" w:cs="Times New Roman"/>
              </w:rPr>
              <w:t>12. Информационное сопровождение проекта в социальных сетях и региональных СМИ с общим охватом 10 000 просмотров.</w:t>
            </w:r>
          </w:p>
        </w:tc>
        <w:tc>
          <w:tcPr>
            <w:tcW w:w="1514" w:type="dxa"/>
          </w:tcPr>
          <w:p w:rsidR="006D53B3" w:rsidRDefault="006D53B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D53B3" w:rsidTr="006723C0">
        <w:trPr>
          <w:trHeight w:val="422"/>
        </w:trPr>
        <w:tc>
          <w:tcPr>
            <w:tcW w:w="7650" w:type="dxa"/>
            <w:gridSpan w:val="4"/>
            <w:vAlign w:val="center"/>
          </w:tcPr>
          <w:p w:rsidR="006D53B3" w:rsidRPr="00D1199A" w:rsidRDefault="007863F7" w:rsidP="00D1199A">
            <w:pPr>
              <w:tabs>
                <w:tab w:val="left" w:pos="396"/>
              </w:tabs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1199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Итого</w:t>
            </w:r>
          </w:p>
        </w:tc>
        <w:tc>
          <w:tcPr>
            <w:tcW w:w="1418" w:type="dxa"/>
            <w:vAlign w:val="center"/>
          </w:tcPr>
          <w:p w:rsidR="006D53B3" w:rsidRPr="00D1199A" w:rsidRDefault="007863F7" w:rsidP="00D1199A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63F7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8 800,00 ₸</w:t>
            </w:r>
          </w:p>
        </w:tc>
        <w:tc>
          <w:tcPr>
            <w:tcW w:w="1065" w:type="dxa"/>
            <w:vAlign w:val="center"/>
          </w:tcPr>
          <w:p w:rsidR="006D53B3" w:rsidRPr="00D1199A" w:rsidRDefault="006D53B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0" w:type="dxa"/>
          </w:tcPr>
          <w:p w:rsidR="006D53B3" w:rsidRPr="00D1199A" w:rsidRDefault="006D53B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370" w:type="dxa"/>
            <w:vAlign w:val="center"/>
          </w:tcPr>
          <w:p w:rsidR="006D53B3" w:rsidRPr="00D1199A" w:rsidRDefault="006D53B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1" w:name="_heading=h.q5oz5xykks2t" w:colFirst="0" w:colLast="0"/>
            <w:bookmarkEnd w:id="1"/>
          </w:p>
        </w:tc>
        <w:tc>
          <w:tcPr>
            <w:tcW w:w="1514" w:type="dxa"/>
          </w:tcPr>
          <w:p w:rsidR="006D53B3" w:rsidRDefault="006D53B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6D53B3" w:rsidRDefault="006D53B3">
      <w:pPr>
        <w:rPr>
          <w:rFonts w:ascii="Times New Roman" w:eastAsia="Times New Roman" w:hAnsi="Times New Roman" w:cs="Times New Roman"/>
          <w:b/>
          <w:bCs/>
        </w:rPr>
      </w:pPr>
    </w:p>
    <w:sectPr w:rsidR="006D53B3">
      <w:pgSz w:w="16838" w:h="11906" w:orient="landscape"/>
      <w:pgMar w:top="850" w:right="1134" w:bottom="156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A096DA9-4191-4C56-BE75-53262273A642}"/>
    <w:embedBold r:id="rId2" w:fontKey="{C62714A4-32E9-4B9E-8F61-541F01DC6986}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28E58AD-D1ED-432D-AF71-264730B5F13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58962497-7915-4B2B-85AC-0362AF1765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91963E4-C9D4-4AFB-BFEA-82DB1B072D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3B3"/>
    <w:rsid w:val="00216B41"/>
    <w:rsid w:val="00444876"/>
    <w:rsid w:val="004C5576"/>
    <w:rsid w:val="005936BC"/>
    <w:rsid w:val="00593A2D"/>
    <w:rsid w:val="006723C0"/>
    <w:rsid w:val="006A26C2"/>
    <w:rsid w:val="006D53B3"/>
    <w:rsid w:val="007863F7"/>
    <w:rsid w:val="00802E45"/>
    <w:rsid w:val="0089724D"/>
    <w:rsid w:val="00A86704"/>
    <w:rsid w:val="00D1199A"/>
    <w:rsid w:val="00D8253D"/>
    <w:rsid w:val="00E04D01"/>
    <w:rsid w:val="00F1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124FF1-70B4-4178-9F9B-991DAAF3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No Spacing"/>
    <w:uiPriority w:val="1"/>
    <w:qFormat/>
    <w:rsid w:val="00085EDB"/>
    <w:pPr>
      <w:spacing w:after="0" w:line="240" w:lineRule="auto"/>
    </w:pPr>
  </w:style>
  <w:style w:type="paragraph" w:styleId="a6">
    <w:name w:val="List Paragraph"/>
    <w:aliases w:val="маркированный,Абзац списка1,Абзац списка11,References,List Paragraph (numbered (a)),Bullets,NUMBERED PARAGRAPH,List Paragraph 1,List_Paragraph,Multilevel para_II,Akapit z listą BS,IBL List Paragraph,List Paragraph nowy"/>
    <w:link w:val="a7"/>
    <w:uiPriority w:val="34"/>
    <w:qFormat/>
    <w:rsid w:val="00891EC7"/>
    <w:pPr>
      <w:ind w:left="720"/>
      <w:contextualSpacing/>
    </w:pPr>
    <w:rPr>
      <w:rFonts w:eastAsia="Times New Roman" w:cs="Times New Roman"/>
      <w:lang w:val="ru-RU"/>
    </w:rPr>
  </w:style>
  <w:style w:type="character" w:customStyle="1" w:styleId="a7">
    <w:name w:val="Абзац списка Знак"/>
    <w:aliases w:val="маркированный Знак,Абзац списка1 Знак,Абзац списка11 Знак,References Знак,List Paragraph (numbered (a)) Знак,Bullets Знак,NUMBERED PARAGRAPH Знак,List Paragraph 1 Знак,List_Paragraph Знак,Multilevel para_II Знак,Akapit z listą BS Знак"/>
    <w:link w:val="a6"/>
    <w:uiPriority w:val="34"/>
    <w:locked/>
    <w:rsid w:val="00891EC7"/>
    <w:rPr>
      <w:rFonts w:eastAsia="Times New Roman" w:cs="Times New Roman"/>
      <w:lang w:val="ru-RU"/>
    </w:rPr>
  </w:style>
  <w:style w:type="paragraph" w:styleId="a8">
    <w:name w:val="header"/>
    <w:link w:val="a9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02E4"/>
  </w:style>
  <w:style w:type="paragraph" w:styleId="aa">
    <w:name w:val="footer"/>
    <w:link w:val="ab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02E4"/>
  </w:style>
  <w:style w:type="paragraph" w:styleId="ac">
    <w:name w:val="Normal (Web)"/>
    <w:uiPriority w:val="99"/>
    <w:semiHidden/>
    <w:unhideWhenUsed/>
    <w:rsid w:val="00415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F16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164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RjXsyaxIb8ARDPRn6RkUrBqJ3Q==">CgMxLjAyDmgucTVvejV4eWtrczJ0OAByITFEVHp1NmhHX0JLMTdqTlRmSkZaTHRucGU5UzRDSlhlSQ==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1376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16</cp:revision>
  <cp:lastPrinted>2026-03-10T10:03:00Z</cp:lastPrinted>
  <dcterms:created xsi:type="dcterms:W3CDTF">2025-04-14T11:49:00Z</dcterms:created>
  <dcterms:modified xsi:type="dcterms:W3CDTF">2026-04-03T06:28:00Z</dcterms:modified>
</cp:coreProperties>
</file>