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B48" w:rsidRDefault="00101B4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1B48" w:rsidRPr="00BE23CD" w:rsidRDefault="00D41E08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6"/>
          <w:szCs w:val="26"/>
        </w:rPr>
        <w:t xml:space="preserve">     </w:t>
      </w:r>
      <w:r>
        <w:rPr>
          <w:b/>
          <w:bCs/>
          <w:sz w:val="24"/>
          <w:szCs w:val="24"/>
        </w:rPr>
        <w:t xml:space="preserve">     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Утверждены приказом </w:t>
      </w:r>
    </w:p>
    <w:p w:rsidR="00101B48" w:rsidRPr="00BE23CD" w:rsidRDefault="00BE23C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r w:rsidRPr="00BE23C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Руководителя у</w:t>
      </w:r>
      <w:r w:rsidR="00D41E08" w:rsidRPr="00BE23CD">
        <w:rPr>
          <w:rFonts w:ascii="Times New Roman" w:eastAsia="Times New Roman" w:hAnsi="Times New Roman" w:cs="Times New Roman"/>
          <w:sz w:val="24"/>
          <w:szCs w:val="24"/>
        </w:rPr>
        <w:t xml:space="preserve">правления </w:t>
      </w:r>
      <w:r w:rsidR="00D41E08" w:rsidRPr="00BE23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культуры, развития языков и архивного дела </w:t>
      </w:r>
      <w:proofErr w:type="spellStart"/>
      <w:r w:rsidR="00D41E08" w:rsidRPr="00BE23CD">
        <w:rPr>
          <w:rFonts w:ascii="Times New Roman" w:eastAsia="Times New Roman" w:hAnsi="Times New Roman" w:cs="Times New Roman"/>
          <w:sz w:val="24"/>
          <w:szCs w:val="24"/>
          <w:highlight w:val="white"/>
        </w:rPr>
        <w:t>Мангистауской</w:t>
      </w:r>
      <w:proofErr w:type="spellEnd"/>
      <w:r w:rsidR="00D41E08" w:rsidRPr="00BE23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области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 от «</w:t>
      </w:r>
      <w:r w:rsidRPr="00BE23CD">
        <w:rPr>
          <w:rFonts w:ascii="Times New Roman" w:eastAsia="Times New Roman" w:hAnsi="Times New Roman" w:cs="Times New Roman"/>
          <w:sz w:val="24"/>
          <w:szCs w:val="24"/>
          <w:lang w:val="kk-KZ"/>
        </w:rPr>
        <w:t>2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BE23CD">
        <w:rPr>
          <w:rFonts w:ascii="Times New Roman" w:eastAsia="Times New Roman" w:hAnsi="Times New Roman" w:cs="Times New Roman"/>
          <w:sz w:val="24"/>
          <w:szCs w:val="24"/>
          <w:lang w:val="kk-KZ"/>
        </w:rPr>
        <w:t>апреля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 2026 года №</w:t>
      </w:r>
      <w:r w:rsidRPr="00BE23CD">
        <w:rPr>
          <w:rFonts w:ascii="Times New Roman" w:eastAsia="Times New Roman" w:hAnsi="Times New Roman" w:cs="Times New Roman"/>
          <w:sz w:val="24"/>
          <w:szCs w:val="24"/>
          <w:lang w:val="ru-RU"/>
        </w:rPr>
        <w:t>61-н/қ</w:t>
      </w:r>
    </w:p>
    <w:bookmarkEnd w:id="0"/>
    <w:p w:rsidR="00101B48" w:rsidRPr="00BE23CD" w:rsidRDefault="00101B48">
      <w:pPr>
        <w:spacing w:after="0" w:line="240" w:lineRule="auto"/>
        <w:ind w:left="11340"/>
        <w:jc w:val="center"/>
        <w:rPr>
          <w:rFonts w:ascii="Times New Roman" w:eastAsia="Times New Roman" w:hAnsi="Times New Roman" w:cs="Times New Roman"/>
          <w:sz w:val="28"/>
          <w:szCs w:val="24"/>
          <w:lang w:val="ru-RU"/>
        </w:rPr>
      </w:pPr>
    </w:p>
    <w:p w:rsidR="00101B48" w:rsidRDefault="00101B48">
      <w:pPr>
        <w:spacing w:after="0" w:line="240" w:lineRule="auto"/>
        <w:ind w:left="34" w:hanging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B48" w:rsidRDefault="00D41E0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приоритетных направлений государственных грантов для</w:t>
      </w:r>
      <w:r w:rsidR="00BE23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неправительственных </w:t>
      </w:r>
      <w:proofErr w:type="spellStart"/>
      <w:r w:rsidR="00BE23CD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</w:t>
      </w:r>
      <w:proofErr w:type="spellEnd"/>
      <w:r w:rsidR="00BE23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2026 год</w:t>
      </w:r>
    </w:p>
    <w:tbl>
      <w:tblPr>
        <w:tblStyle w:val="ac"/>
        <w:tblW w:w="16110" w:type="dxa"/>
        <w:tblInd w:w="-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1395"/>
        <w:gridCol w:w="1530"/>
        <w:gridCol w:w="2310"/>
        <w:gridCol w:w="1350"/>
        <w:gridCol w:w="975"/>
        <w:gridCol w:w="1836"/>
        <w:gridCol w:w="4558"/>
        <w:gridCol w:w="1706"/>
      </w:tblGrid>
      <w:tr w:rsidR="00101B48" w:rsidTr="00833C77">
        <w:trPr>
          <w:trHeight w:val="525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:rsidR="00101B48" w:rsidRDefault="00D41E08">
            <w:pPr>
              <w:spacing w:after="0" w:line="276" w:lineRule="auto"/>
              <w:ind w:right="-1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395" w:type="dxa"/>
            <w:tcBorders>
              <w:right w:val="single" w:sz="5" w:space="0" w:color="000000"/>
            </w:tcBorders>
            <w:shd w:val="clear" w:color="auto" w:fill="D9E2F3" w:themeFill="accent1" w:themeFillTint="33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 соответствии с частью 1 статьи 5 Закона,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грантовый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сектор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1B48" w:rsidRDefault="00D41E08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Приоритетное направление государственного гранта</w:t>
            </w:r>
          </w:p>
        </w:tc>
        <w:tc>
          <w:tcPr>
            <w:tcW w:w="2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1B48" w:rsidRDefault="00D41E08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350" w:type="dxa"/>
            <w:tcBorders>
              <w:left w:val="single" w:sz="5" w:space="0" w:color="000000"/>
            </w:tcBorders>
            <w:shd w:val="clear" w:color="auto" w:fill="D9E2F3" w:themeFill="accent1" w:themeFillTint="33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финансирования (тысячи тенге)</w:t>
            </w:r>
          </w:p>
        </w:tc>
        <w:tc>
          <w:tcPr>
            <w:tcW w:w="975" w:type="dxa"/>
            <w:shd w:val="clear" w:color="auto" w:fill="D9E2F3" w:themeFill="accent1" w:themeFillTint="33"/>
            <w:vAlign w:val="center"/>
          </w:tcPr>
          <w:p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 гранта и срок реализации гранта</w:t>
            </w:r>
          </w:p>
        </w:tc>
        <w:tc>
          <w:tcPr>
            <w:tcW w:w="1836" w:type="dxa"/>
            <w:shd w:val="clear" w:color="auto" w:fill="D9E2F3" w:themeFill="accent1" w:themeFillTint="33"/>
            <w:vAlign w:val="center"/>
          </w:tcPr>
          <w:p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</w:t>
            </w:r>
          </w:p>
          <w:p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58" w:type="dxa"/>
            <w:shd w:val="clear" w:color="auto" w:fill="D9E2F3" w:themeFill="accent1" w:themeFillTint="33"/>
            <w:vAlign w:val="center"/>
          </w:tcPr>
          <w:p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Целевой индикатор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и ожидаемые результаты</w:t>
            </w:r>
          </w:p>
        </w:tc>
        <w:tc>
          <w:tcPr>
            <w:tcW w:w="1706" w:type="dxa"/>
            <w:shd w:val="clear" w:color="auto" w:fill="D9E2F3" w:themeFill="accent1" w:themeFillTint="33"/>
            <w:vAlign w:val="center"/>
          </w:tcPr>
          <w:p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Требования к материально-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техническойбазе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(устанавливаются только при реализации долгосрочных грантов)</w:t>
            </w:r>
          </w:p>
          <w:p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01B48" w:rsidTr="00833C77">
        <w:trPr>
          <w:trHeight w:val="525"/>
        </w:trPr>
        <w:tc>
          <w:tcPr>
            <w:tcW w:w="450" w:type="dxa"/>
            <w:shd w:val="clear" w:color="auto" w:fill="auto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Развитие культуры и искусства</w:t>
            </w:r>
          </w:p>
        </w:tc>
        <w:tc>
          <w:tcPr>
            <w:tcW w:w="1530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1B48" w:rsidRDefault="00D41E0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 экспедиции художников</w:t>
            </w:r>
          </w:p>
          <w:p w:rsidR="00101B48" w:rsidRDefault="00101B48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Несмотря на активное развитие сферы изобразительного искусства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области, ежегодно оказывается поддержка региональным художникам для обмена опытом на международном уровне. В 2025 году город Актау был признан «Культурной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столицей тюркского мира», в рамках чего в регионе собрались известные художники тюркских стран и провели обмен опытом с местными художниками.</w:t>
            </w:r>
          </w:p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Кроме того, для художников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была организована культурная поездка в Турцию под названием «Чудеса Турции», в ходе которой они посетили несколько городов и обменялись опытом с турецкими художниками.</w:t>
            </w:r>
          </w:p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культурной поездки в Монголию позволит не только представить произведения художников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как часть креативной индустрии Казахстана, но и укрепить международное сотрудничество, расширить профессиональные горизонты и повысить конкурентоспособность регионального искусства.</w:t>
            </w:r>
          </w:p>
        </w:tc>
        <w:tc>
          <w:tcPr>
            <w:tcW w:w="1350" w:type="dxa"/>
          </w:tcPr>
          <w:p w:rsidR="00101B48" w:rsidRDefault="00D4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12 387 000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краткосрочный грант, 2026 год </w:t>
            </w:r>
          </w:p>
        </w:tc>
        <w:tc>
          <w:tcPr>
            <w:tcW w:w="1836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область</w:t>
            </w:r>
          </w:p>
        </w:tc>
        <w:tc>
          <w:tcPr>
            <w:tcW w:w="4558" w:type="dxa"/>
            <w:shd w:val="clear" w:color="auto" w:fill="auto"/>
            <w:vAlign w:val="center"/>
          </w:tcPr>
          <w:p w:rsidR="00101B48" w:rsidRDefault="00D41E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1.Организация международной культурной поездки для не менее 6 художников из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области и международного уровня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Не менее 70% участников после участия в проекте отметят повышение профессионального мастерства и расширение творческих возможностей (по результатам опроса).</w:t>
            </w:r>
          </w:p>
          <w:p w:rsidR="00101B48" w:rsidRDefault="00D4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"/>
              </w:tabs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Ожидаемые результаты: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1.Организация и проведение не менее 5 зарубежных пленэров с участием художников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области, а также международных художников, включая известных художников Монголии.</w:t>
            </w:r>
          </w:p>
          <w:p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2.Организация не менее 1 мастер-класса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Улан-баторе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 участием художников Монголии.</w:t>
            </w:r>
          </w:p>
          <w:p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Посещение не менее 2 художественных галерей и национальных музеев Монголии в рамках культурно-образовательной программы.</w:t>
            </w:r>
          </w:p>
          <w:p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4.Организация региональной выставки произведений по итогам международной поездки с охватом не менее 100 участников</w:t>
            </w:r>
          </w:p>
          <w:p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5.Передача картин, созданных в рамках проекта (не менее 10 картин), в областной историко-краеведческий музей.</w:t>
            </w:r>
          </w:p>
          <w:p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6.Информационный охват в рамках проекта составит - не менее 30 000 просмотров.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101B48" w:rsidRDefault="00101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"/>
              </w:tabs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01B48" w:rsidRDefault="00101B48">
            <w:pPr>
              <w:tabs>
                <w:tab w:val="left" w:pos="4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:rsidR="00101B48" w:rsidRDefault="0010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01B48" w:rsidTr="00833C77">
        <w:trPr>
          <w:trHeight w:val="525"/>
        </w:trPr>
        <w:tc>
          <w:tcPr>
            <w:tcW w:w="450" w:type="dxa"/>
            <w:shd w:val="clear" w:color="auto" w:fill="auto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</w:t>
            </w:r>
          </w:p>
        </w:tc>
        <w:tc>
          <w:tcPr>
            <w:tcW w:w="1395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Развитие культуры и искусства</w:t>
            </w:r>
          </w:p>
        </w:tc>
        <w:tc>
          <w:tcPr>
            <w:tcW w:w="1530" w:type="dxa"/>
            <w:tcBorders>
              <w:top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1B48" w:rsidRDefault="00D41E08">
            <w:pPr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қаламгер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2310" w:type="dxa"/>
            <w:tcBorders>
              <w:top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формировании современной литературной среды региона и развитии региональной литературы особую роль играет молодежь, чья доля и вклад являются значительными. Однако недостаточная связь молодых авторов с читателями в пределах области, отсутствие публикаций их произведений в виде сборников, а также недостаточная информационная работа препятствуют их достойному продвижению и популяризации.</w:t>
            </w:r>
          </w:p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 2025 года была начата работа по организации поездок молодых поэтов и писателей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 городам и районам области, налаживанию взаимодействия с Союзами писателей, литературными организациями и литературными клубами, а также по продвижению их творчества. Были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изданы книги молодых поэтов и писателей и представлены широкой общественности.</w:t>
            </w:r>
          </w:p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Данную работу необходимо продолжить и в текущем году. Продолжение этих мероприятий будет способствовать повышению мотивации молодых авторов региона и их профессиональному росту.</w:t>
            </w:r>
          </w:p>
        </w:tc>
        <w:tc>
          <w:tcPr>
            <w:tcW w:w="1350" w:type="dxa"/>
          </w:tcPr>
          <w:p w:rsidR="00101B48" w:rsidRDefault="00D4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12 387 000</w:t>
            </w:r>
          </w:p>
        </w:tc>
        <w:tc>
          <w:tcPr>
            <w:tcW w:w="975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836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г.Актау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Жанаозен</w:t>
            </w:r>
            <w:proofErr w:type="spellEnd"/>
          </w:p>
        </w:tc>
        <w:tc>
          <w:tcPr>
            <w:tcW w:w="4558" w:type="dxa"/>
            <w:shd w:val="clear" w:color="auto" w:fill="auto"/>
          </w:tcPr>
          <w:p w:rsidR="00101B48" w:rsidRDefault="00D41E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1B48" w:rsidRDefault="00101B4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1.Организация не менее  2-х литературн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о-музыкальных вечеров молодых авторов в городах Актау 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Жанаозен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области </w:t>
            </w:r>
            <w:r>
              <w:rPr>
                <w:rFonts w:ascii="Times New Roman" w:eastAsia="Times New Roman" w:hAnsi="Times New Roman" w:cs="Times New Roman"/>
              </w:rPr>
              <w:t>и издание сборников не менее 3-х молодых писателей.</w:t>
            </w:r>
          </w:p>
          <w:p w:rsidR="00101B48" w:rsidRDefault="00101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2.Не менее 70% участников отметят улучшение своих навыков в области литературного творчества и публичных выступлений, согласно итоговому опросу.</w:t>
            </w:r>
          </w:p>
          <w:p w:rsidR="00101B48" w:rsidRDefault="00D41E08">
            <w:pPr>
              <w:tabs>
                <w:tab w:val="left" w:pos="512"/>
              </w:tabs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1.Проведение не менее 3-х мастер классов с известными писателями и литераторами для молодых авторов с общим охватом не менее 100 человек.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2.В целях поддержки молодых авторов издание книг 3 молодых писателей проведение 1 итогового мероприятия с организацией их презентации в областном центре с охватом не менее 100 человек.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3.Передача книг, изданных в рамках проекта (не менее 450 экземпляров) в областную библиотеку.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4.Проведение работы по повышению популярности молодых авторов в социальных сетях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TikTok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Instagram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с охватом не менее 30 000 просмотров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</w:r>
          </w:p>
          <w:p w:rsidR="00101B48" w:rsidRDefault="00101B48">
            <w:pPr>
              <w:tabs>
                <w:tab w:val="left" w:pos="5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706" w:type="dxa"/>
            <w:shd w:val="clear" w:color="auto" w:fill="auto"/>
          </w:tcPr>
          <w:p w:rsidR="00101B48" w:rsidRDefault="00101B4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1B48" w:rsidTr="00833C77">
        <w:trPr>
          <w:trHeight w:val="525"/>
        </w:trPr>
        <w:tc>
          <w:tcPr>
            <w:tcW w:w="450" w:type="dxa"/>
            <w:shd w:val="clear" w:color="auto" w:fill="auto"/>
            <w:vAlign w:val="center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395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Развитие культуры и искусства</w:t>
            </w:r>
          </w:p>
        </w:tc>
        <w:tc>
          <w:tcPr>
            <w:tcW w:w="1530" w:type="dxa"/>
          </w:tcPr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мероприятий, направленных на сохранение популяризацию семейных национальных традиций</w:t>
            </w:r>
          </w:p>
        </w:tc>
        <w:tc>
          <w:tcPr>
            <w:tcW w:w="2310" w:type="dxa"/>
            <w:tcBorders>
              <w:top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области наблюдается тенденция снижения уровня вовлеченности населения в сохранение и соблюдение семейных и национальных традиций. </w:t>
            </w:r>
          </w:p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Недостаточная популяризация казахских культурных практик среди молодежи и ограниченное использование современных каналов коммуникации (социальные сети, СМИ) приводят к снижению охвата целевой аудитории и ослаблению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межпоколенческих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связей.</w:t>
            </w:r>
          </w:p>
          <w:p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Отсутствие системных мероприятий по повышению осведомленности и вовлеченности населения в вопрос сохранения семейных и национальных ценностей создает риск постепенной утраты культурного наследия региона. </w:t>
            </w:r>
          </w:p>
        </w:tc>
        <w:tc>
          <w:tcPr>
            <w:tcW w:w="1350" w:type="dxa"/>
          </w:tcPr>
          <w:p w:rsidR="00101B48" w:rsidRDefault="00D41E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12  387 000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:rsidR="00101B48" w:rsidRDefault="0010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75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836" w:type="dxa"/>
            <w:shd w:val="clear" w:color="auto" w:fill="auto"/>
          </w:tcPr>
          <w:p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область</w:t>
            </w:r>
          </w:p>
        </w:tc>
        <w:tc>
          <w:tcPr>
            <w:tcW w:w="4558" w:type="dxa"/>
            <w:shd w:val="clear" w:color="auto" w:fill="auto"/>
          </w:tcPr>
          <w:p w:rsidR="00101B48" w:rsidRDefault="00D41E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1B48" w:rsidRDefault="00101B4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1.Организация культурных мероприятий с охватом не менее 100 жителей с целью повышения уровня пропаганды семейно-национальных традиций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области.</w:t>
            </w:r>
          </w:p>
          <w:p w:rsidR="00101B48" w:rsidRDefault="00101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Продвижение проекта через социальные сети и СМИ, с информационным охватом не менее 50 000 просмотров.</w:t>
            </w:r>
          </w:p>
          <w:p w:rsidR="00101B48" w:rsidRDefault="00D41E08">
            <w:pPr>
              <w:tabs>
                <w:tab w:val="left" w:pos="512"/>
              </w:tabs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1.Организация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области 1 республиканского конкурса с участием не менее 100 человек, направленное на пропаганду семейных ценностей, казахских невест, в том числе женщин-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абысынок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 награждением победителей (I место – 700 000 ₸, II место – 500 000 ₸, III место – 300 000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₸,  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также поощрительные призы 3 участникам по 100 000 ₸ каждому)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(программа мероприятия  по согласованию с Заказчиком)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2.Организация не менее 2 мастер-классов (охват не менее 25 человек на каждой), направленных на пропаганду семейных ценностей;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3.Проведение не менее 3 лекций </w:t>
            </w:r>
            <w:r>
              <w:rPr>
                <w:rFonts w:ascii="Times New Roman" w:eastAsia="Times New Roman" w:hAnsi="Times New Roman" w:cs="Times New Roman"/>
              </w:rPr>
              <w:t xml:space="preserve"> (охват не менее 50 человек)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с целью повышения осведомленности о семейных ценностях, роли родителей и старшего поколения, а также укрепления национальных традиций.</w:t>
            </w:r>
          </w:p>
          <w:p w:rsidR="00101B48" w:rsidRDefault="00D41E08">
            <w:pPr>
              <w:tabs>
                <w:tab w:val="left" w:pos="536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4.Создание не менее 2 видеороликов, направленных на пропаганду национальных и семейных ценностей и традиций,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(по согласованию с Заказчиком),</w:t>
            </w:r>
            <w:r>
              <w:rPr>
                <w:rFonts w:ascii="Times New Roman" w:eastAsia="Times New Roman" w:hAnsi="Times New Roman" w:cs="Times New Roman"/>
              </w:rPr>
              <w:t xml:space="preserve"> распространение их через социальные сети с общим охватом не менее 10 000 просмотров.</w:t>
            </w:r>
          </w:p>
        </w:tc>
        <w:tc>
          <w:tcPr>
            <w:tcW w:w="1706" w:type="dxa"/>
            <w:shd w:val="clear" w:color="auto" w:fill="auto"/>
          </w:tcPr>
          <w:p w:rsidR="00101B48" w:rsidRDefault="00101B4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1B48" w:rsidTr="00833C77">
        <w:trPr>
          <w:trHeight w:val="525"/>
        </w:trPr>
        <w:tc>
          <w:tcPr>
            <w:tcW w:w="5685" w:type="dxa"/>
            <w:gridSpan w:val="4"/>
            <w:shd w:val="clear" w:color="auto" w:fill="auto"/>
            <w:vAlign w:val="center"/>
          </w:tcPr>
          <w:p w:rsidR="00101B48" w:rsidRDefault="00D41E08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350" w:type="dxa"/>
            <w:vAlign w:val="center"/>
          </w:tcPr>
          <w:p w:rsidR="00101B48" w:rsidRDefault="00D4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37 161 000</w:t>
            </w:r>
          </w:p>
        </w:tc>
        <w:tc>
          <w:tcPr>
            <w:tcW w:w="975" w:type="dxa"/>
            <w:shd w:val="clear" w:color="auto" w:fill="auto"/>
          </w:tcPr>
          <w:p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6" w:type="dxa"/>
            <w:shd w:val="clear" w:color="auto" w:fill="auto"/>
          </w:tcPr>
          <w:p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58" w:type="dxa"/>
            <w:shd w:val="clear" w:color="auto" w:fill="auto"/>
          </w:tcPr>
          <w:p w:rsidR="00101B48" w:rsidRDefault="0010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6" w:type="dxa"/>
            <w:shd w:val="clear" w:color="auto" w:fill="auto"/>
          </w:tcPr>
          <w:p w:rsidR="00101B48" w:rsidRDefault="00101B4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01B48" w:rsidRDefault="00101B4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101B48">
      <w:footerReference w:type="default" r:id="rId7"/>
      <w:pgSz w:w="16838" w:h="11906" w:orient="landscape"/>
      <w:pgMar w:top="568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9CD" w:rsidRDefault="00EF59CD">
      <w:pPr>
        <w:spacing w:after="0" w:line="240" w:lineRule="auto"/>
      </w:pPr>
      <w:r>
        <w:separator/>
      </w:r>
    </w:p>
  </w:endnote>
  <w:endnote w:type="continuationSeparator" w:id="0">
    <w:p w:rsidR="00EF59CD" w:rsidRDefault="00EF5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271C68E-E17B-4D84-AD41-628F3E08101E}"/>
    <w:embedBold r:id="rId2" w:fontKey="{40C7BE45-842E-4471-9DFE-C7CDF082F1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B2A467B-F83C-4CCC-9992-45F503690EB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8F5FA09-531C-414E-95F8-CB7A8475DF1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0DE9833-877A-4212-A1A3-D5D313211B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B48" w:rsidRDefault="00101B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9CD" w:rsidRDefault="00EF59CD">
      <w:pPr>
        <w:spacing w:after="0" w:line="240" w:lineRule="auto"/>
      </w:pPr>
      <w:r>
        <w:separator/>
      </w:r>
    </w:p>
  </w:footnote>
  <w:footnote w:type="continuationSeparator" w:id="0">
    <w:p w:rsidR="00EF59CD" w:rsidRDefault="00EF59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48"/>
    <w:rsid w:val="00101B48"/>
    <w:rsid w:val="00553AF4"/>
    <w:rsid w:val="006A16B5"/>
    <w:rsid w:val="006F34C6"/>
    <w:rsid w:val="00833C77"/>
    <w:rsid w:val="008B3E83"/>
    <w:rsid w:val="00975EF9"/>
    <w:rsid w:val="00BE23CD"/>
    <w:rsid w:val="00CE64E2"/>
    <w:rsid w:val="00D41E08"/>
    <w:rsid w:val="00EF59CD"/>
    <w:rsid w:val="00FB549E"/>
    <w:rsid w:val="00FC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9B8E3D-3C84-4DFF-BFB7-A3007D87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A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uiPriority w:val="34"/>
    <w:qFormat/>
    <w:rsid w:val="00357344"/>
    <w:pPr>
      <w:ind w:left="720"/>
      <w:contextualSpacing/>
    </w:pPr>
  </w:style>
  <w:style w:type="paragraph" w:styleId="a8">
    <w:name w:val="Normal (Web)"/>
    <w:uiPriority w:val="99"/>
    <w:unhideWhenUsed/>
    <w:rsid w:val="00907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907710"/>
    <w:rPr>
      <w:b/>
      <w:bCs/>
    </w:rPr>
  </w:style>
  <w:style w:type="character" w:customStyle="1" w:styleId="whitespace-normal">
    <w:name w:val="whitespace-normal"/>
    <w:basedOn w:val="a0"/>
    <w:rsid w:val="007C1C22"/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5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6op109H5et44d1zf9HkbKdW7ew==">CgMxLjA4AHIhMTJQMEhDWkxad3lySVl2aFpFMTNqc2V5QkJmM25nVXk3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 Мухамеджанов</dc:creator>
  <cp:lastModifiedBy>Учетная запись Майкрософт</cp:lastModifiedBy>
  <cp:revision>7</cp:revision>
  <cp:lastPrinted>2026-03-19T04:24:00Z</cp:lastPrinted>
  <dcterms:created xsi:type="dcterms:W3CDTF">2026-03-19T04:37:00Z</dcterms:created>
  <dcterms:modified xsi:type="dcterms:W3CDTF">2026-04-15T07:33:00Z</dcterms:modified>
</cp:coreProperties>
</file>