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5477" w14:textId="77777777" w:rsidR="006C1543" w:rsidRPr="006C1543" w:rsidRDefault="001C34E1" w:rsidP="006C154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Үкіметтік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емес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ұйымдарға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мемлекеттік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гранттардың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2026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жылға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бағыттарының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тізбесі</w:t>
      </w:r>
      <w:proofErr w:type="spellEnd"/>
      <w:r w:rsidRPr="00C406C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6C1543" w:rsidRPr="006C1543">
        <w:rPr>
          <w:rFonts w:ascii="Times New Roman" w:eastAsia="Times New Roman" w:hAnsi="Times New Roman" w:cs="Times New Roman"/>
          <w:color w:val="000000"/>
          <w:lang w:val="kk-KZ" w:eastAsia="ru-RU"/>
        </w:rPr>
        <w:t>(үзінді)</w:t>
      </w:r>
    </w:p>
    <w:p w14:paraId="6A186862" w14:textId="14EF0CC9" w:rsidR="001C34E1" w:rsidRPr="00C406C0" w:rsidRDefault="001C34E1" w:rsidP="001C3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69612D" w14:textId="77777777" w:rsidR="001C34E1" w:rsidRPr="00C406C0" w:rsidRDefault="001C34E1" w:rsidP="001C34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1C34E1" w:rsidRPr="00C406C0" w14:paraId="6B226793" w14:textId="77777777" w:rsidTr="002A0743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1D290" w14:textId="77777777" w:rsidR="001C34E1" w:rsidRPr="00C406C0" w:rsidRDefault="001C34E1" w:rsidP="002A07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7C8A4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Заңның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5-бабы </w:t>
            </w:r>
            <w:hyperlink r:id="rId4" w:anchor="z66" w:history="1">
              <w:r w:rsidRPr="00C406C0">
                <w:rPr>
                  <w:rFonts w:ascii="Times New Roman" w:eastAsia="Times New Roman" w:hAnsi="Times New Roman" w:cs="Times New Roman"/>
                  <w:b/>
                  <w:bCs/>
                  <w:color w:val="073A5E"/>
                  <w:highlight w:val="lightGray"/>
                  <w:shd w:val="clear" w:color="auto" w:fill="FFFFFF"/>
                  <w:lang w:eastAsia="ru-RU"/>
                </w:rPr>
                <w:t>1-тармағына</w:t>
              </w:r>
            </w:hyperlink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сәйкес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мемлекеттік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грант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саласы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8E577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Мемлекеттік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бағыты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7CE50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Проблеманың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қысқаша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сипаттамасы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2A2DC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Қаржыландыру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көлемі</w:t>
            </w:r>
            <w:proofErr w:type="spellEnd"/>
          </w:p>
          <w:p w14:paraId="5B4EBCEB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(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мың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теңге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26BE5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Грант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түрі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және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мерзімі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218F1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аумағы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(осы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Қағидалардың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6-тармағына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сәйкес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3ACFE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Нысаналы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индикатор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және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күтілетін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нәтижелер</w:t>
            </w:r>
            <w:proofErr w:type="spellEnd"/>
          </w:p>
          <w:p w14:paraId="62706523" w14:textId="77777777" w:rsidR="001C34E1" w:rsidRPr="00C406C0" w:rsidRDefault="001C34E1" w:rsidP="002A0743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  <w:p w14:paraId="0CE4D9E4" w14:textId="77777777" w:rsidR="001C34E1" w:rsidRPr="00C406C0" w:rsidRDefault="001C34E1" w:rsidP="002A0743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  <w:p w14:paraId="4287C211" w14:textId="77777777" w:rsidR="001C34E1" w:rsidRPr="00C406C0" w:rsidRDefault="001C34E1" w:rsidP="002A0743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CCF87" w14:textId="77777777" w:rsidR="001C34E1" w:rsidRPr="00C406C0" w:rsidRDefault="001C34E1" w:rsidP="002A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Материалдық-техникалық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базаға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қойылатын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талаптар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ұзақ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мерзімді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гранттарды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кезінде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ғана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белгіленеді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)</w:t>
            </w:r>
          </w:p>
        </w:tc>
      </w:tr>
      <w:tr w:rsidR="001C34E1" w:rsidRPr="006C1543" w14:paraId="650183F1" w14:textId="77777777" w:rsidTr="001C34E1">
        <w:trPr>
          <w:trHeight w:val="2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6438" w14:textId="77777777" w:rsidR="001C34E1" w:rsidRPr="00C406C0" w:rsidRDefault="001C34E1" w:rsidP="002A07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D8EE4" w14:textId="77777777" w:rsidR="001C34E1" w:rsidRPr="00C406C0" w:rsidRDefault="001C34E1" w:rsidP="002A07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F6C6F" w14:textId="77777777" w:rsidR="001C34E1" w:rsidRPr="00C406C0" w:rsidRDefault="001C34E1" w:rsidP="002A07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фронт-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офисінің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волонтерлік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FD396" w14:textId="77777777" w:rsidR="001C34E1" w:rsidRDefault="001C34E1" w:rsidP="002A0743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айтарлықтай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әлеуеттің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алайда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көрсеткіштер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аймақтың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мәліметтері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Қазақстанда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240 000-нан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қозғалысына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тартылған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аймақтық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фронт-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офистердің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деректері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базасы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қалаларда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небәрі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200-600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Әсіресе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мәселесі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бағалаулар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өңірдегі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20%-дан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азы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8050599" w14:textId="77777777" w:rsidR="001C34E1" w:rsidRDefault="001C34E1" w:rsidP="002A07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Біріңғай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орталықтандырылған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фронт-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офистің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шашыраңқылығына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жеткілікті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жүйелеудің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жоқтығына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акцияларды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ауқымы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республика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көрсеткіштерден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30-40%-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B48BD5" w14:textId="77777777" w:rsidR="001C34E1" w:rsidRPr="00C406C0" w:rsidRDefault="001C34E1" w:rsidP="002A07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инфрақұрылымды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Осыған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фронт-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офисінің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еріктілік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жобасының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осы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инфрақұрылымды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54EA3" w14:textId="77777777" w:rsidR="001C34E1" w:rsidRDefault="001C34E1" w:rsidP="002A0743">
            <w:pPr>
              <w:pStyle w:val="3"/>
              <w:spacing w:before="2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2026 </w:t>
            </w:r>
            <w:proofErr w:type="spellStart"/>
            <w:r>
              <w:rPr>
                <w:color w:val="000000"/>
                <w:sz w:val="22"/>
                <w:szCs w:val="22"/>
              </w:rPr>
              <w:t>жылға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10 000 </w:t>
            </w:r>
            <w:proofErr w:type="spellStart"/>
            <w:r>
              <w:rPr>
                <w:color w:val="000000"/>
                <w:sz w:val="22"/>
                <w:szCs w:val="22"/>
              </w:rPr>
              <w:t>мың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тг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69867809" w14:textId="77777777" w:rsidR="001C34E1" w:rsidRPr="00C406C0" w:rsidRDefault="001C34E1" w:rsidP="002A07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7F3A5" w14:textId="77777777" w:rsidR="001C34E1" w:rsidRPr="00BE1FF5" w:rsidRDefault="001C34E1" w:rsidP="002A074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мерзімді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ADCE1" w14:textId="77777777" w:rsidR="001C34E1" w:rsidRPr="00BE1FF5" w:rsidRDefault="001C34E1" w:rsidP="002A07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878B5" w14:textId="77777777" w:rsidR="001C34E1" w:rsidRPr="000141FA" w:rsidRDefault="001C34E1" w:rsidP="002A0743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Нысаналы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индикатор:</w:t>
            </w:r>
          </w:p>
          <w:p w14:paraId="1ECB90D9" w14:textId="77777777" w:rsidR="001C34E1" w:rsidRPr="000141FA" w:rsidRDefault="001C34E1" w:rsidP="002A07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Еріктілер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қозғалысын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база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құру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1 000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еріктіні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(14–35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жас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Pr="000141FA">
              <w:rPr>
                <w:rFonts w:ascii="Times New Roman" w:eastAsia="Times New Roman" w:hAnsi="Times New Roman" w:cs="Times New Roman"/>
              </w:rPr>
              <w:t xml:space="preserve">тарту,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ішінде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300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еріктіні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qazvolunteer.kz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платформасына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енгізу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>.</w:t>
            </w:r>
          </w:p>
          <w:p w14:paraId="02808730" w14:textId="77777777" w:rsidR="001C34E1" w:rsidRPr="000141FA" w:rsidRDefault="001C34E1" w:rsidP="002A07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белсенділігін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30%-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жобаны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іске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асырудың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басы мен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соңындағы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негізінде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>.</w:t>
            </w:r>
          </w:p>
          <w:p w14:paraId="17CEF250" w14:textId="77777777" w:rsidR="001C34E1" w:rsidRPr="000141FA" w:rsidRDefault="001C34E1" w:rsidP="002A07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Күтілетін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нәтижелер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932B18A" w14:textId="77777777" w:rsidR="001C34E1" w:rsidRDefault="001C34E1" w:rsidP="002A07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>1. «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>» фронт-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офисінің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7 ай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облыстық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деңгейде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сондай-ақ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8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аудан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мен 2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қала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деңгейінде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етіледі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кестесі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аптасына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сағат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09:00-ден 18:00-ге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істейді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>). Фронт-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lastRenderedPageBreak/>
              <w:t>офистер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жастарға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консультациялық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қызметтер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кәсіби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бағдар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волонтерлік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қызметке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тарту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жүргізіледі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8D2011B" w14:textId="77777777" w:rsidR="001C34E1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B8139F5" w14:textId="77777777" w:rsidR="001C34E1" w:rsidRPr="000141FA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141FA">
              <w:rPr>
                <w:rFonts w:ascii="Times New Roman" w:eastAsia="Times New Roman" w:hAnsi="Times New Roman" w:cs="Times New Roman"/>
                <w:lang w:val="kk-KZ"/>
              </w:rPr>
              <w:t xml:space="preserve">2. Волонтерлерге арналған оқыту бағдарламалары жүзеге асырылады, оның аясында 8 бағыт бойынша </w:t>
            </w:r>
            <w:r w:rsidRPr="000141FA">
              <w:rPr>
                <w:rFonts w:ascii="Times New Roman" w:eastAsia="Times New Roman" w:hAnsi="Times New Roman" w:cs="Times New Roman"/>
                <w:i/>
                <w:iCs/>
                <w:lang w:val="kk-KZ"/>
              </w:rPr>
              <w:t xml:space="preserve">(Ayala, Asyl Mura, Bilim, Qamqor, Saylyq, Sabaqtastyq, Taza Alem, Umit) </w:t>
            </w:r>
            <w:r w:rsidRPr="000141FA">
              <w:rPr>
                <w:rFonts w:ascii="Times New Roman" w:eastAsia="Times New Roman" w:hAnsi="Times New Roman" w:cs="Times New Roman"/>
                <w:lang w:val="kk-KZ"/>
              </w:rPr>
              <w:t>кемінде 100 іс-шара өткізіледі.</w:t>
            </w:r>
          </w:p>
          <w:p w14:paraId="47993AFA" w14:textId="77777777" w:rsidR="001C34E1" w:rsidRPr="001C34E1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t>3. Әлеуметтік жобалар байқауы ұйымдастырылып, әр бағыт бойынша кемінде 500 000 теңгеден 8 грант беріледі. (Ереже Тапсырыс берушімен келісу).</w:t>
            </w:r>
          </w:p>
          <w:p w14:paraId="5C7873E4" w14:textId="77777777" w:rsidR="001C34E1" w:rsidRPr="001C34E1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t xml:space="preserve">4. Ақпараттық кампания жүргізіліп, кемінде 3 танымал әлеуметтік желіде  </w:t>
            </w:r>
            <w:r w:rsidRPr="001C34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(жалпы аудиториясы кемінде</w:t>
            </w:r>
            <w:r w:rsidRPr="001C34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br/>
              <w:t xml:space="preserve"> 50 000 жазылушысы бар)</w:t>
            </w:r>
            <w:r w:rsidRPr="001C34E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34E1">
              <w:rPr>
                <w:rFonts w:ascii="Times New Roman" w:eastAsia="Times New Roman" w:hAnsi="Times New Roman" w:cs="Times New Roman"/>
                <w:lang w:val="kk-KZ"/>
              </w:rPr>
              <w:t>және 2 телеарнада жоба туралы материалдар жарияланады және жоба туралы қаралым 200 000.</w:t>
            </w:r>
          </w:p>
          <w:p w14:paraId="1402E153" w14:textId="77777777" w:rsidR="001C34E1" w:rsidRPr="001C34E1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t xml:space="preserve">5. Кемінде 100 волонтердің қатысуымен, сондай-ақ волонтерлік қызмет мәселелері бойынша облыстық және республикалық деңгейдегі спикерлерді тарта отырып, өңірлік форум өткізу </w:t>
            </w:r>
            <w:r w:rsidRPr="001C34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(Тапсырыс берушімен келісім бойынша).</w:t>
            </w:r>
          </w:p>
          <w:p w14:paraId="4D8AEB6B" w14:textId="77777777" w:rsidR="001C34E1" w:rsidRPr="001C34E1" w:rsidRDefault="001C34E1" w:rsidP="002A074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t xml:space="preserve">6. Өңірлік форум аясында «Жыл волонтері» марапаттау рәсімін өткізу, </w:t>
            </w:r>
            <w:r w:rsidRPr="001C34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оның шеңберінде 10 номинация бойынша үздік волонтерлер анықталып, оларға статуэтка, диплом және естелік сыйлықтар табысталады </w:t>
            </w:r>
            <w:r w:rsidRPr="001C34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(Тапсырыс берушімен келісім бойынша).</w:t>
            </w:r>
          </w:p>
          <w:p w14:paraId="65763F89" w14:textId="77777777" w:rsidR="001C34E1" w:rsidRPr="000141FA" w:rsidRDefault="001C34E1" w:rsidP="002A0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t>7. Волонтерлерге арналған лагерь ұйымдастыру, оның қатысушылары имидждік киіммен және таратпа материалдармен қамтамасыз етіледі.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0588B" w14:textId="77777777" w:rsidR="001C34E1" w:rsidRPr="001516E6" w:rsidRDefault="001C34E1" w:rsidP="002A07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1C34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 </w:t>
            </w:r>
            <w:r w:rsidRPr="001C34E1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1C34E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</w:tbl>
    <w:p w14:paraId="3FA3DA8F" w14:textId="77777777" w:rsidR="001A5320" w:rsidRPr="001C34E1" w:rsidRDefault="001A5320">
      <w:pPr>
        <w:rPr>
          <w:lang w:val="kk-KZ"/>
        </w:rPr>
      </w:pPr>
    </w:p>
    <w:sectPr w:rsidR="001A5320" w:rsidRPr="001C34E1" w:rsidSect="001C3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B2"/>
    <w:rsid w:val="000421B2"/>
    <w:rsid w:val="001A5320"/>
    <w:rsid w:val="001C34E1"/>
    <w:rsid w:val="004339A0"/>
    <w:rsid w:val="006C1543"/>
    <w:rsid w:val="008F25E0"/>
    <w:rsid w:val="00A15E0B"/>
    <w:rsid w:val="00BB00F7"/>
    <w:rsid w:val="00D20CF1"/>
    <w:rsid w:val="00E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ADD2-ED57-4E1D-9A82-21935D0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4E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42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42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1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2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1B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42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2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1B2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6C15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543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05000003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2026-03-05T04:23:00Z</dcterms:created>
  <dcterms:modified xsi:type="dcterms:W3CDTF">2026-03-05T13:45:00Z</dcterms:modified>
</cp:coreProperties>
</file>