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B283" w14:textId="23376229" w:rsidR="00925FD7" w:rsidRPr="00925FD7" w:rsidRDefault="00925FD7" w:rsidP="00925F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kk-KZ" w:eastAsia="ru-RU"/>
        </w:rPr>
      </w:pP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Үкіметтік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емес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ұйымдарға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мемлекеттік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гранттардың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2026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жылға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арналған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бағыттарының</w:t>
      </w:r>
      <w:proofErr w:type="spellEnd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proofErr w:type="spellStart"/>
      <w:r w:rsidRPr="00C406C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тізбесі</w:t>
      </w:r>
      <w:proofErr w:type="spellEnd"/>
      <w:r w:rsidRPr="00C406C0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val="kk-KZ" w:eastAsia="ru-RU"/>
        </w:rPr>
        <w:t>(Үзінді)</w:t>
      </w:r>
    </w:p>
    <w:p w14:paraId="44A9188B" w14:textId="77777777" w:rsidR="00925FD7" w:rsidRPr="00C406C0" w:rsidRDefault="00925FD7" w:rsidP="00925FD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6159" w:type="dxa"/>
        <w:tblInd w:w="-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3118"/>
        <w:gridCol w:w="1276"/>
        <w:gridCol w:w="1215"/>
        <w:gridCol w:w="1338"/>
        <w:gridCol w:w="3826"/>
        <w:gridCol w:w="1984"/>
      </w:tblGrid>
      <w:tr w:rsidR="00925FD7" w:rsidRPr="00C406C0" w14:paraId="3B534032" w14:textId="77777777" w:rsidTr="00014A68">
        <w:trPr>
          <w:trHeight w:val="2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6061" w14:textId="77777777" w:rsidR="00925FD7" w:rsidRPr="00C406C0" w:rsidRDefault="00925FD7" w:rsidP="00014A6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highlight w:val="lightGray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13D29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Заңның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5-бабы </w:t>
            </w:r>
            <w:hyperlink r:id="rId4" w:anchor="z66" w:history="1">
              <w:r w:rsidRPr="00C406C0">
                <w:rPr>
                  <w:rFonts w:ascii="Times New Roman" w:eastAsia="Times New Roman" w:hAnsi="Times New Roman" w:cs="Times New Roman"/>
                  <w:b/>
                  <w:bCs/>
                  <w:color w:val="073A5E"/>
                  <w:highlight w:val="lightGray"/>
                  <w:shd w:val="clear" w:color="auto" w:fill="FFFFFF"/>
                  <w:lang w:eastAsia="ru-RU"/>
                </w:rPr>
                <w:t>1-тармағына</w:t>
              </w:r>
            </w:hyperlink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сәйкес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мемлекеттік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грант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саласы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541228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Мемлекеттік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бағыты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94E38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Проблеманың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қысқаша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сипаттамасы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A6AFA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Қаржыландыру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көлемі</w:t>
            </w:r>
            <w:proofErr w:type="spellEnd"/>
          </w:p>
          <w:p w14:paraId="1CF6A7E1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(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мың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теңге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lang w:eastAsia="ru-RU"/>
              </w:rPr>
              <w:t>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32748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Грант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түрі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және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мерзімі</w:t>
            </w:r>
            <w:proofErr w:type="spellEnd"/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6B837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аумағы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(осы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Қағидалардың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6-тармағына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сәйкес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605A1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Нысаналы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индикатор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және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күтілетін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нәтижелер</w:t>
            </w:r>
            <w:proofErr w:type="spellEnd"/>
          </w:p>
          <w:p w14:paraId="41729754" w14:textId="77777777" w:rsidR="00925FD7" w:rsidRPr="00C406C0" w:rsidRDefault="00925FD7" w:rsidP="00014A68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  <w:p w14:paraId="642440F0" w14:textId="77777777" w:rsidR="00925FD7" w:rsidRPr="00C406C0" w:rsidRDefault="00925FD7" w:rsidP="00014A68">
            <w:pPr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  <w:p w14:paraId="5DDC25B5" w14:textId="77777777" w:rsidR="00925FD7" w:rsidRPr="00C406C0" w:rsidRDefault="00925FD7" w:rsidP="00014A68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C406C0"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F6785" w14:textId="77777777" w:rsidR="00925FD7" w:rsidRPr="00C406C0" w:rsidRDefault="00925FD7" w:rsidP="00014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Материалдық-техникалық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базаға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қойылатын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талаптар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(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ұзақ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мерзімді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гранттарды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іске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асыру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кезінде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ғана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белгіленеді</w:t>
            </w:r>
            <w:proofErr w:type="spellEnd"/>
            <w:r w:rsidRPr="00C406C0"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lightGray"/>
                <w:shd w:val="clear" w:color="auto" w:fill="FFFFFF"/>
                <w:lang w:eastAsia="ru-RU"/>
              </w:rPr>
              <w:t>)</w:t>
            </w:r>
          </w:p>
        </w:tc>
      </w:tr>
      <w:tr w:rsidR="00925FD7" w:rsidRPr="001516E6" w14:paraId="7DF7C652" w14:textId="77777777" w:rsidTr="00925FD7">
        <w:trPr>
          <w:trHeight w:val="11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D280B4" w14:textId="77777777" w:rsidR="00925FD7" w:rsidRPr="00C406C0" w:rsidRDefault="00925FD7" w:rsidP="00925F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C406C0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406C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03842" w14:textId="77777777" w:rsidR="00925FD7" w:rsidRPr="00C406C0" w:rsidRDefault="00925FD7" w:rsidP="00925F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AFEAA" w14:textId="73477C1A" w:rsidR="00925FD7" w:rsidRPr="00C406C0" w:rsidRDefault="00925FD7" w:rsidP="00925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Ауыл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жұмыссыз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әлеуметтендіру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ұйымдастыру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662207" w14:textId="1870E8A9" w:rsidR="00925FD7" w:rsidRPr="00C406C0" w:rsidRDefault="00925FD7" w:rsidP="00925F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туризм,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бизнес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өңірлік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аймақ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ішіндегі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елді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мекендерде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өңірдің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әлеуметтік-экономикалық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арттыруда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рөл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атқарады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қызығушылығы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артып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келеді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алайда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бағыт-бағдар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байқалады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жерлерде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ақпаратқа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мүмкіндіктеріне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меңгеруге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практикалық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кеңестерге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қолжетімділігін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өңір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мүмкіндіктердің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табылады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Сонымен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бизнес-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менторлық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қаржылық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сауаттылық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стартап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әлеуетін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ашуына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бастамашыл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идеясы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қызығушылық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танытатын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азаматтар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Сол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біріктіріп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оқытып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ынталандырып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гранттық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өңірдің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тұрақты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әсер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экономикасының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жандануына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дамуына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Осыған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жұмыссыз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әлеуметтенуін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күшейтуді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кәсіпкерлік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бастамаларын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кәсібін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бастауына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ресурстарды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ұсынуды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мақсат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етеді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жастары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мүмкіндіктер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ашып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асыруына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танытуына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экономикалық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дербестікке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жеткізуіне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жасайды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9A4E92" w14:textId="77777777" w:rsidR="00925FD7" w:rsidRDefault="00925FD7" w:rsidP="00925FD7">
            <w:pPr>
              <w:pStyle w:val="3"/>
              <w:spacing w:before="28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2026 </w:t>
            </w:r>
            <w:proofErr w:type="spellStart"/>
            <w:r>
              <w:rPr>
                <w:color w:val="000000"/>
                <w:sz w:val="22"/>
                <w:szCs w:val="22"/>
              </w:rPr>
              <w:t>жылға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38 000 </w:t>
            </w:r>
            <w:proofErr w:type="spellStart"/>
            <w:r>
              <w:rPr>
                <w:color w:val="000000"/>
                <w:sz w:val="22"/>
                <w:szCs w:val="22"/>
              </w:rPr>
              <w:t>мың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тг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40C51333" w14:textId="77777777" w:rsidR="00925FD7" w:rsidRDefault="00925FD7" w:rsidP="00925FD7">
            <w:pPr>
              <w:pStyle w:val="3"/>
              <w:spacing w:before="280"/>
              <w:jc w:val="center"/>
              <w:rPr>
                <w:color w:val="000000"/>
                <w:sz w:val="22"/>
                <w:szCs w:val="22"/>
              </w:rPr>
            </w:pPr>
            <w:bookmarkStart w:id="0" w:name="_pee07kt4aggu" w:colFirst="0" w:colLast="0"/>
            <w:bookmarkEnd w:id="0"/>
            <w:r>
              <w:rPr>
                <w:color w:val="000000"/>
                <w:sz w:val="22"/>
                <w:szCs w:val="22"/>
              </w:rPr>
              <w:t xml:space="preserve">2027 </w:t>
            </w:r>
            <w:proofErr w:type="spellStart"/>
            <w:r>
              <w:rPr>
                <w:color w:val="000000"/>
                <w:sz w:val="22"/>
                <w:szCs w:val="22"/>
              </w:rPr>
              <w:t>жылға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– 38 000 </w:t>
            </w:r>
            <w:proofErr w:type="spellStart"/>
            <w:r>
              <w:rPr>
                <w:color w:val="000000"/>
                <w:sz w:val="22"/>
                <w:szCs w:val="22"/>
              </w:rPr>
              <w:t>мың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тг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637E7566" w14:textId="77777777" w:rsidR="00925FD7" w:rsidRDefault="00925FD7" w:rsidP="00925FD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жылға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38 000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2093E168" w14:textId="056ABD26" w:rsidR="00925FD7" w:rsidRPr="00C406C0" w:rsidRDefault="00925FD7" w:rsidP="00925F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B09ED" w14:textId="6AE70E47" w:rsidR="00925FD7" w:rsidRPr="00BE1FF5" w:rsidRDefault="00925FD7" w:rsidP="00925FD7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мерзімді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грант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8BD50" w14:textId="3D1BB1D4" w:rsidR="00925FD7" w:rsidRPr="00BE1FF5" w:rsidRDefault="00925FD7" w:rsidP="00925FD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1EB8D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Нысаналы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индикатор (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жыл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сайын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153682C0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Тікелей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қамту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1 000 адам,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ақпараттық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қамту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100 000 адам.</w:t>
            </w:r>
          </w:p>
          <w:p w14:paraId="6742C342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Жобаға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қатысушы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жұмыссыз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жастарының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әлеуметтік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белсенділігінің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кәсіпкерлік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141FA">
              <w:rPr>
                <w:rFonts w:ascii="Times New Roman" w:eastAsia="Times New Roman" w:hAnsi="Times New Roman" w:cs="Times New Roman"/>
              </w:rPr>
              <w:t>дағдыларының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 арту</w:t>
            </w:r>
            <w:proofErr w:type="gram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деңгейі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сұралған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қатысушылардың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70%-ы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өзгеріс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көрсетеді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). </w:t>
            </w:r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0749AE12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Күтілетін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нәтижелер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жыл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сайын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b/>
                <w:bCs/>
              </w:rPr>
              <w:t>):</w:t>
            </w:r>
          </w:p>
          <w:p w14:paraId="30A79C04" w14:textId="77777777" w:rsid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0141FA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Жетісу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облысының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8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аудан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мен 2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қаланың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1000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ауыл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жұмыссыз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жастарына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әлеуметтендіру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кәсіпкерлік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дағдыларды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дамыту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оқыту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</w:rPr>
              <w:t>өткізу</w:t>
            </w:r>
            <w:proofErr w:type="spellEnd"/>
            <w:r w:rsidRPr="000141FA">
              <w:rPr>
                <w:rFonts w:ascii="Times New Roman" w:eastAsia="Times New Roman" w:hAnsi="Times New Roman" w:cs="Times New Roman"/>
              </w:rPr>
              <w:t xml:space="preserve"> </w:t>
            </w:r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Тапсырыс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берушімен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келісім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бойынша</w:t>
            </w:r>
            <w:proofErr w:type="spellEnd"/>
            <w:r w:rsidRPr="00014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). </w:t>
            </w:r>
          </w:p>
          <w:p w14:paraId="29191720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14:paraId="42990004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2.Стартап идеялар жәрмеңкесі/питчинг сессиялары - 5 рет өткізіледі, 100 қатысушы бизнес жоспар жасайды және оларға психологиялық, менторлық қолдау көрсетіледі.</w:t>
            </w:r>
          </w:p>
          <w:p w14:paraId="02A267AF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3. Жұмысқа орналастыру жәрмеңкелері/кездесулер - 20 шара (8 аудан мен 2 қалада).</w:t>
            </w:r>
          </w:p>
          <w:p w14:paraId="2B7049F7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4. Жұмыс берушілермен серіктестік келісімдер саны - 5 келісім.</w:t>
            </w:r>
          </w:p>
          <w:p w14:paraId="0DD254B7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 xml:space="preserve">5. Грант алған жас кәсіпкерлер саны – 10 адам (әрқайсысы 3 млн теңгеден) </w:t>
            </w:r>
            <w:r w:rsidRPr="00925FD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kk-KZ"/>
              </w:rPr>
              <w:t>(Тапсырыс берушімен келісім бойынша).</w:t>
            </w:r>
          </w:p>
          <w:p w14:paraId="59089BA3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6. Грант алған 10 жастың 100%-ы 1 жыл ішінде жеке кәсіпкер (ИП) ашып, бизнесін ресми түрде бастауы тиіс.</w:t>
            </w:r>
          </w:p>
          <w:p w14:paraId="3A47AE08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7. Жоба бойынша жыл сайын кемінде 2 ақпараттық портал мен 50 000 жазылушысы бар 5 танымал әлеуметтік желіде жарияланымдар шығару.</w:t>
            </w:r>
          </w:p>
          <w:p w14:paraId="6AEC3F5F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>8. Кәсіпкерлікті насихаттауға бағытталған кемінде 2 бейнеролик әзірлеу және тарату, кемінде 200 000 қаралымға қол жеткізу.</w:t>
            </w:r>
          </w:p>
          <w:p w14:paraId="044810E2" w14:textId="77777777" w:rsidR="00925FD7" w:rsidRPr="00925FD7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 </w:t>
            </w:r>
          </w:p>
          <w:p w14:paraId="4B90FB01" w14:textId="5BBC5AD5" w:rsidR="00925FD7" w:rsidRPr="000141FA" w:rsidRDefault="00925FD7" w:rsidP="00925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925FD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7233EA" w14:textId="77777777" w:rsidR="00925FD7" w:rsidRPr="000141FA" w:rsidRDefault="00925FD7" w:rsidP="00925FD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141FA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Жиһазбен бірге кемінде 30 ш.м кеңсе немесе жалға алынған үй-жайдың болуы;</w:t>
            </w:r>
          </w:p>
          <w:p w14:paraId="13FA2205" w14:textId="013E913F" w:rsidR="00925FD7" w:rsidRPr="001516E6" w:rsidRDefault="00925FD7" w:rsidP="00925FD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компьютерлер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кемінде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 дана,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ақ-қара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принтер 1 дана, фотокамера 1 дана,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бейнекамера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 дана</w:t>
            </w:r>
          </w:p>
        </w:tc>
      </w:tr>
    </w:tbl>
    <w:p w14:paraId="2B5EC86E" w14:textId="77777777" w:rsidR="001A5320" w:rsidRDefault="001A5320"/>
    <w:sectPr w:rsidR="001A5320" w:rsidSect="00925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87"/>
    <w:rsid w:val="001A5320"/>
    <w:rsid w:val="003B0C87"/>
    <w:rsid w:val="004339A0"/>
    <w:rsid w:val="00851410"/>
    <w:rsid w:val="00925FD7"/>
    <w:rsid w:val="00BB00F7"/>
    <w:rsid w:val="00D20CF1"/>
    <w:rsid w:val="00EC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33F2"/>
  <w15:chartTrackingRefBased/>
  <w15:docId w15:val="{3A57D44B-3C64-4F7C-9DF9-1AFF51D8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D7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0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3B0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B0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C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0C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0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0C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0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0C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B0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B0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C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B0C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0C87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B0C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B0C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B0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kaz/docs/Z05000003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2026-03-17T08:26:00Z</dcterms:created>
  <dcterms:modified xsi:type="dcterms:W3CDTF">2026-03-17T08:27:00Z</dcterms:modified>
</cp:coreProperties>
</file>