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7047" w:rsidRDefault="006E7047" w:rsidP="006E7047">
      <w:pPr>
        <w:spacing w:after="280" w:line="240" w:lineRule="auto"/>
        <w:ind w:left="10773"/>
        <w:jc w:val="both"/>
        <w:rPr>
          <w:rFonts w:ascii="Times New Roman" w:eastAsia="Times New Roman" w:hAnsi="Times New Roman" w:cs="Times New Roman"/>
          <w:b/>
          <w:bCs/>
        </w:rPr>
      </w:pPr>
      <w:r w:rsidRPr="006E7047">
        <w:rPr>
          <w:rFonts w:ascii="Times New Roman" w:eastAsia="Times New Roman" w:hAnsi="Times New Roman" w:cs="Times New Roman"/>
          <w:b/>
          <w:bCs/>
        </w:rPr>
        <w:t xml:space="preserve">Утверждено приказом руководителя Управления по вопросам молодежной политики </w:t>
      </w:r>
      <w:r w:rsidRPr="00884186">
        <w:rPr>
          <w:rFonts w:ascii="Times New Roman" w:eastAsia="Times New Roman" w:hAnsi="Times New Roman" w:cs="Times New Roman"/>
          <w:b/>
          <w:bCs/>
        </w:rPr>
        <w:t>Мангистауской области от «2</w:t>
      </w:r>
      <w:r w:rsidR="00B33680">
        <w:rPr>
          <w:rFonts w:ascii="Times New Roman" w:eastAsia="Times New Roman" w:hAnsi="Times New Roman" w:cs="Times New Roman"/>
          <w:b/>
          <w:bCs/>
          <w:lang w:val="kk-KZ"/>
        </w:rPr>
        <w:t>7</w:t>
      </w:r>
      <w:r w:rsidRPr="00884186">
        <w:rPr>
          <w:rFonts w:ascii="Times New Roman" w:eastAsia="Times New Roman" w:hAnsi="Times New Roman" w:cs="Times New Roman"/>
          <w:b/>
          <w:bCs/>
        </w:rPr>
        <w:t xml:space="preserve">» января 2026 года </w:t>
      </w:r>
      <w:r w:rsidR="00884186" w:rsidRPr="00884186">
        <w:rPr>
          <w:rFonts w:ascii="Times New Roman" w:eastAsia="Times New Roman" w:hAnsi="Times New Roman" w:cs="Times New Roman"/>
          <w:b/>
          <w:bCs/>
        </w:rPr>
        <w:t>№ 02-03/7.</w:t>
      </w:r>
    </w:p>
    <w:p w:rsidR="005B03DA" w:rsidRDefault="001D7DCD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e"/>
        <w:tblW w:w="1644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560"/>
        <w:gridCol w:w="1275"/>
        <w:gridCol w:w="3960"/>
        <w:gridCol w:w="1980"/>
        <w:gridCol w:w="1065"/>
        <w:gridCol w:w="1275"/>
        <w:gridCol w:w="3558"/>
        <w:gridCol w:w="1276"/>
      </w:tblGrid>
      <w:tr w:rsidR="005B03DA" w:rsidTr="001D7DCD">
        <w:trPr>
          <w:cantSplit/>
          <w:trHeight w:val="3148"/>
        </w:trPr>
        <w:tc>
          <w:tcPr>
            <w:tcW w:w="495" w:type="dxa"/>
            <w:shd w:val="clear" w:color="auto" w:fill="DBE5F1" w:themeFill="accent1" w:themeFillTint="33"/>
          </w:tcPr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B03DA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56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96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Краткое описание проблемы </w:t>
            </w:r>
          </w:p>
        </w:tc>
        <w:tc>
          <w:tcPr>
            <w:tcW w:w="198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06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8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B03DA" w:rsidTr="001D7DCD">
        <w:trPr>
          <w:trHeight w:val="369"/>
        </w:trPr>
        <w:tc>
          <w:tcPr>
            <w:tcW w:w="16444" w:type="dxa"/>
            <w:gridSpan w:val="9"/>
            <w:shd w:val="clear" w:color="auto" w:fill="DBE5F1" w:themeFill="accent1" w:themeFillTint="33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Управление по вопросам молодежной политики Мангистауской области</w:t>
            </w:r>
          </w:p>
        </w:tc>
      </w:tr>
      <w:tr w:rsidR="005B03DA" w:rsidTr="001D7DCD">
        <w:trPr>
          <w:trHeight w:val="49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Сохранение и укрепление психического здоровья молодежи в регионе</w:t>
            </w:r>
          </w:p>
        </w:tc>
        <w:tc>
          <w:tcPr>
            <w:tcW w:w="3960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Мангистауской области количество молодежи в возрасте от 14 до 34 лет составляет 240 031 человек, что составляет 29,8 % населения области.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В настоящее время молодежь сталкивается с кризисами психического здоровья, включая тревожность, депрессию и другие неблагоприятные эмоциональные состояния. Эти проблемы приводят к увеличению социальных негативных явлений среди молодежи, таких как буллинг и кибербуллинг, суицид, лудомания, наркомания и интернет-зависимость. Так, согласно данным Департамента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полиции Мангистауской области, в 2025 году было зафиксировано 10 завершённых случаев суицида среди молодежи.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Недостаток специалистов, которые системно работают с молодежью и оказывают психологическую поддержку, а также малое количество мероприятий, направленных на сохранение психического здоровья молодежи и развитие эмоционального интеллекта, отрицательно сказываются на их психическом состоянии.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возникает необходимость вовлечения всех слоев общества, включая неправительственные организации, представителей СМИ, успешных граждан из различных сфер и общественных лидеров, в решение этих проблем.</w:t>
            </w:r>
          </w:p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10  250 000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1D7DCD" w:rsidP="001D7DCD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="00972DC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 сохранения психического здоровья молодежи обеспечение прямого участия не менее 2 500 молодых людей Мангистауской области путем проведения психологических и просветительских мероприятий;</w:t>
            </w:r>
          </w:p>
          <w:p w:rsidR="005B03DA" w:rsidRDefault="001D7DCD" w:rsidP="001D7D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="00972DC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 менее 60 % участников повысят уровень знаний в области психического здоровья и эмоционального интеллекта (по результатам анкетирования);</w:t>
            </w:r>
          </w:p>
          <w:p w:rsidR="001D7DCD" w:rsidRDefault="001D7DCD" w:rsidP="001D7DCD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3.</w:t>
            </w:r>
            <w:r w:rsidR="00972DCE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Информационный охват мероприятий проекта не менее 15 000 просмотров.</w:t>
            </w:r>
          </w:p>
          <w:p w:rsidR="001D7DCD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Ожидаемые результаты: 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обучения не менее чем для 20 психологов региона (с приоритетом для молодых специалистов) с привлечением республиканских экспертов по формату ToT (Training of Trainers) по 4 ключевым направлениям;</w:t>
            </w:r>
          </w:p>
          <w:p w:rsidR="005B03DA" w:rsidRDefault="00972DCE" w:rsidP="00972DCE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="001D7DCD">
              <w:rPr>
                <w:rFonts w:ascii="Times New Roman" w:eastAsia="Times New Roman" w:hAnsi="Times New Roman" w:cs="Times New Roman"/>
              </w:rPr>
              <w:t>Проведение психологами, прошедшими обучение, не менее 20 психологических и просветительских мероприятий для молодежи Мангистауской области (каждым обученным специалистом проводится не менее одного мероприятия);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не менее 3 ознакомительных встреч с участием экспертов в области психологии с охватом не менее 450 молодых людей;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итогового мероприятия проекта с психологами региона для обмена опытом и обсуждения актуальных вопросов;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5.</w:t>
            </w:r>
            <w:r w:rsidR="001D7DCD">
              <w:rPr>
                <w:rFonts w:ascii="Times New Roman" w:eastAsia="Times New Roman" w:hAnsi="Times New Roman" w:cs="Times New Roman"/>
              </w:rPr>
              <w:t>Создание и обеспечение деятельности страницы в социальной сети Instagram, ориентированной на психологическую поддержку молодежи, с регулярным размещением информационных и просветительских материалов.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Социализация молодых людей с особыми потребностями</w:t>
            </w:r>
          </w:p>
        </w:tc>
        <w:tc>
          <w:tcPr>
            <w:tcW w:w="3960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Согласно статистическим данным уполномоченных органов, в Мангистауской области насчитывается 5 912 молодых людей в возрасте от 14 до 34 лет с ограниченными возможностями. Вопрос социальной интеграции молодежи с инвалидностью через профессиональную адаптацию в регионе является крайне актуальным. Возникает необходимость их социальной адаптации путем предоставления возможности участия в государственных программах.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недостаточная организация поддержки молодежи с особыми потребностями является основной преградой для полного раскрытия их потенциала и усиливает неравенство в таких сферах, как образование, физическая культура, трудоустройство и участие в различных аспектах общественной жизни.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Необходимо системно и комплексно организовать мероприятия по обучению молодежи с ограниченными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возможностями, обеспечивать им психологическую и менторскую поддержку, а также вовлекать их в общественные инициативы.</w:t>
            </w:r>
          </w:p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10 250 000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Социализация не менее 120 молодых людей с особыми потребностями через мероприятия, направленные на вовлечение в общественную жизнь;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Повышение уровня социальной адаптации, самореализации и вовлеченности в жизнь общества - не менее 70 % участников проекта с особыми потребностями (по результатам опросов);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Информационный охват не менее 5 000 просмотров.</w:t>
            </w: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в Мангистауской области краткосрочных курсов не менее чем по 4 направлениям для не менее 120 молодых людей с особыми потребностями в регионе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 xml:space="preserve">Организация спортивного мероприятия с участием не менее </w:t>
            </w:r>
            <w:r w:rsidR="001D7DCD">
              <w:rPr>
                <w:rFonts w:ascii="Times New Roman" w:eastAsia="Times New Roman" w:hAnsi="Times New Roman" w:cs="Times New Roman"/>
              </w:rPr>
              <w:lastRenderedPageBreak/>
              <w:t>50 молодых людей с особыми потребностями.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инклюзивного лагеря с участием не менее 50 молодых людей с особыми потребностями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>Проведение культурного вечера по итогам проекта с участием молодежи с особыми потребностями.</w:t>
            </w:r>
          </w:p>
          <w:p w:rsidR="005B03DA" w:rsidRDefault="00972DCE" w:rsidP="00972DCE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</w:rPr>
              <w:t xml:space="preserve">Продвижение проекта </w:t>
            </w:r>
            <w:r w:rsidR="001D7DCD">
              <w:rPr>
                <w:rFonts w:ascii="Times New Roman" w:eastAsia="Times New Roman" w:hAnsi="Times New Roman" w:cs="Times New Roman"/>
              </w:rPr>
              <w:t>через социальные сети и СМИ, с информационным охватом не менее 5 000 просмотров.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 развлекательных и юмористических игр среди молодежи</w:t>
            </w:r>
          </w:p>
        </w:tc>
        <w:tc>
          <w:tcPr>
            <w:tcW w:w="3960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2025 году на сезонный фестиваль юмористических игр Мангистауской области было зарегистрировано 56 команд, а количество участников в регионе приближалось к 3 500 человек.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Молодые творческие люди региона рассматривают юмористические игры как площадку для самовыражения, общения с единомышленниками, развития уверенности в себе и критического мышления, лидерских и командных навыков, а также творческих способностей и эмоционального интеллекта.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Сегодня, учитывая, что большинство участников игр создают качественный контент на казахском языке, юмористические игры открывают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возможности для развития креативной индустрии в регионе.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Необходимо обеспечить участие в этих играх подростков и молодежи с высоким творческим потенциалом, но столкнувшихся с жизненными трудностями или имеющих низкую успеваемость.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Таким образом, организация юмористических игр способствует не только развитию креативной индустрии в регионе, но и решению задач социальной интеграции молодежи..</w:t>
            </w: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10 000 000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Проведение юм</w:t>
            </w:r>
            <w:r>
              <w:rPr>
                <w:rFonts w:ascii="Times New Roman" w:eastAsia="Times New Roman" w:hAnsi="Times New Roman" w:cs="Times New Roman"/>
              </w:rPr>
              <w:t xml:space="preserve">ористических игр с вовлечением </w:t>
            </w:r>
            <w:r w:rsidR="001D7DCD">
              <w:rPr>
                <w:rFonts w:ascii="Times New Roman" w:eastAsia="Times New Roman" w:hAnsi="Times New Roman" w:cs="Times New Roman"/>
              </w:rPr>
              <w:t>не менее 2 500 молодых людей региона;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Информационный охват проекта не менее 40 000 просмотров.</w:t>
            </w:r>
          </w:p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в Мангистауской области не менее 2 лиг юмористических игр, по 3 игры в каждой лиге;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е менее 3 юмористических команд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1D7DCD">
              <w:rPr>
                <w:rFonts w:ascii="Times New Roman" w:eastAsia="Times New Roman" w:hAnsi="Times New Roman" w:cs="Times New Roman"/>
              </w:rPr>
              <w:t>будут допущены к республиканским юмористическим играм;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Создание не менее 10 новых юмористических групп в Мангистауской области;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="001D7DCD">
              <w:rPr>
                <w:rFonts w:ascii="Times New Roman" w:eastAsia="Times New Roman" w:hAnsi="Times New Roman" w:cs="Times New Roman"/>
              </w:rPr>
              <w:t xml:space="preserve">Съемка и публикация видеоматериалов в социальных сетях с охватом не менее </w:t>
            </w:r>
            <w:proofErr w:type="gramStart"/>
            <w:r w:rsidR="001D7DCD">
              <w:rPr>
                <w:rFonts w:ascii="Times New Roman" w:eastAsia="Times New Roman" w:hAnsi="Times New Roman" w:cs="Times New Roman"/>
              </w:rPr>
              <w:t>40  000</w:t>
            </w:r>
            <w:proofErr w:type="gramEnd"/>
            <w:r w:rsidR="001D7DCD">
              <w:rPr>
                <w:rFonts w:ascii="Times New Roman" w:eastAsia="Times New Roman" w:hAnsi="Times New Roman" w:cs="Times New Roman"/>
              </w:rPr>
              <w:t xml:space="preserve"> просмотров.</w:t>
            </w:r>
          </w:p>
          <w:p w:rsidR="005B03DA" w:rsidRDefault="005B0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 w:hanging="36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IT-компетенций молодежи Мангистау </w:t>
            </w:r>
          </w:p>
        </w:tc>
        <w:tc>
          <w:tcPr>
            <w:tcW w:w="3960" w:type="dxa"/>
          </w:tcPr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для молодежи Мангистауской области актуальной задачей является повышение цифровой грамотности, освоение новых технологий и получение возможностей в сфере IT. Разрозненность информации о государственных мерах поддержки, образовательных возможностях, трудоустройстве и доступе к социальной инфраструктуре препятствует полной реализации потенциала молодежи.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Кроме того, в регионе наблюдается недостаток образовательных и практических площадок для молодых людей, проявляющих интерес к IT-сфере.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Для решения этой проблемы будет разработано мобильное приложение для молодежи, которое предоставит возможности получения образования, трудоустройства, социальной поддержки и доступа к цифровым ресурсам.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Помимо этого, на базе IT-хаба будут организованы хакатоны, вебинары и менторские встречи, направленные на повышение знаний и практических навыков молодежи в области IT и цифровых технологий. Через проведение региональных техно-встреч и конкурсов инновационных решений молодежь получит возможность представить свои идеи и реализовать их на практике.</w:t>
            </w:r>
          </w:p>
          <w:p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8 000 000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Pr="00972DCE" w:rsidRDefault="00972DCE" w:rsidP="00972DCE">
            <w:pPr>
              <w:spacing w:before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Прямой охват не менее 1000 молодых людей через курсы в мобильном приложении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»;</w:t>
            </w:r>
          </w:p>
          <w:p w:rsidR="005B03DA" w:rsidRPr="00972DCE" w:rsidRDefault="00972DCE" w:rsidP="00972DC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Повышение уровня цифровой грамотности и IT-</w:t>
            </w:r>
            <w:proofErr w:type="gramStart"/>
            <w:r w:rsidR="001D7DCD" w:rsidRPr="00972DCE">
              <w:rPr>
                <w:rFonts w:ascii="Times New Roman" w:eastAsia="Times New Roman" w:hAnsi="Times New Roman" w:cs="Times New Roman"/>
              </w:rPr>
              <w:t>навыков  -</w:t>
            </w:r>
            <w:proofErr w:type="gramEnd"/>
            <w:r w:rsidR="001D7DCD" w:rsidRPr="00972DCE">
              <w:rPr>
                <w:rFonts w:ascii="Times New Roman" w:eastAsia="Times New Roman" w:hAnsi="Times New Roman" w:cs="Times New Roman"/>
              </w:rPr>
              <w:t xml:space="preserve"> не </w:t>
            </w:r>
            <w:proofErr w:type="gramStart"/>
            <w:r w:rsidR="001D7DCD" w:rsidRPr="00972DCE">
              <w:rPr>
                <w:rFonts w:ascii="Times New Roman" w:eastAsia="Times New Roman" w:hAnsi="Times New Roman" w:cs="Times New Roman"/>
              </w:rPr>
              <w:t>менее  75</w:t>
            </w:r>
            <w:proofErr w:type="gramEnd"/>
            <w:r w:rsidR="001D7DCD" w:rsidRPr="00972DCE">
              <w:rPr>
                <w:rFonts w:ascii="Times New Roman" w:eastAsia="Times New Roman" w:hAnsi="Times New Roman" w:cs="Times New Roman"/>
              </w:rPr>
              <w:t xml:space="preserve">% участников проекта (курса) (по результатам </w:t>
            </w:r>
            <w:proofErr w:type="gramStart"/>
            <w:r w:rsidR="001D7DCD" w:rsidRPr="00972DCE">
              <w:rPr>
                <w:rFonts w:ascii="Times New Roman" w:eastAsia="Times New Roman" w:hAnsi="Times New Roman" w:cs="Times New Roman"/>
              </w:rPr>
              <w:t>опроса )</w:t>
            </w:r>
            <w:proofErr w:type="gramEnd"/>
            <w:r w:rsidR="001D7DCD" w:rsidRPr="00972DCE">
              <w:rPr>
                <w:rFonts w:ascii="Times New Roman" w:eastAsia="Times New Roman" w:hAnsi="Times New Roman" w:cs="Times New Roman"/>
              </w:rPr>
              <w:t xml:space="preserve">;   </w:t>
            </w:r>
          </w:p>
          <w:p w:rsidR="001D7DCD" w:rsidRPr="00972DCE" w:rsidRDefault="00972DCE" w:rsidP="001D7DCD">
            <w:pPr>
              <w:spacing w:after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Информационный охват проекта менее 15 000 просмотров.</w:t>
            </w: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Обновление и разработка новых функций мобильного приложения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>
              <w:rPr>
                <w:rFonts w:ascii="Times New Roman" w:eastAsia="Times New Roman" w:hAnsi="Times New Roman" w:cs="Times New Roman"/>
              </w:rPr>
              <w:t>»;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для молодежи региона не менее 2-х мастер-классов по использованию искусственного интеллекта;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Обеспечение регулярной технической поддержки мобильного приложения «Mangystau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 xml:space="preserve"> zhastary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».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>Подготовить и опубликовать в социальных сетях не менее 5 подкастов с участием экспертов в области искусственного интеллекта и IT;</w:t>
            </w:r>
          </w:p>
          <w:p w:rsidR="005B03DA" w:rsidRDefault="00972DCE" w:rsidP="00972DCE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5. </w:t>
            </w:r>
            <w:r w:rsidR="001D7DCD">
              <w:rPr>
                <w:rFonts w:ascii="Times New Roman" w:eastAsia="Times New Roman" w:hAnsi="Times New Roman" w:cs="Times New Roman"/>
              </w:rPr>
              <w:t>Публикация не менее 5 подкастов в социальных сетях с охватом не менее 10 000 просмотров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Поддержка урбанистических инициатив молодежи сельской местности</w:t>
            </w:r>
          </w:p>
        </w:tc>
        <w:tc>
          <w:tcPr>
            <w:tcW w:w="3960" w:type="dxa"/>
          </w:tcPr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Устранение разрыва в уровне социальной интеграции между сельской и городской молодежью является одним из приоритетных направлений государственной молодежной политики региона. Возрастает значимость участия сельской молодежи в управлении государственными делами и формировании самоуправления в сельских территориях.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Для снижения массового оттока молодежи из сельской местности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города важно развивать инфраструктуру в сельских районах. Предоставление возможностей для реализации небольших инфраструктурных инициатив сельской молодежи способствует повышению их социальной ответственности, а также развитию эффективного партнерства между государством и гражданским обществом.</w:t>
            </w:r>
          </w:p>
          <w:p w:rsidR="005B03DA" w:rsidRDefault="001D7DCD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10 000 000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Обеспечение реализации не менее 6 инфраструктурных проектов в рамках поддержки урбанистических инициатив сельской молодежи.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Доля участников проекта, отмечающих повышение уровня урбанистического мышления, навыков развития общественного простра</w:t>
            </w:r>
            <w:r>
              <w:rPr>
                <w:rFonts w:ascii="Times New Roman" w:eastAsia="Times New Roman" w:hAnsi="Times New Roman" w:cs="Times New Roman"/>
              </w:rPr>
              <w:t xml:space="preserve">нства и гражданской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активности </w:t>
            </w:r>
            <w:r w:rsidR="001D7DCD">
              <w:rPr>
                <w:rFonts w:ascii="Times New Roman" w:eastAsia="Times New Roman" w:hAnsi="Times New Roman" w:cs="Times New Roman"/>
              </w:rPr>
              <w:t>- не менее 70 % (по итогам опроса);</w:t>
            </w:r>
          </w:p>
          <w:p w:rsidR="00972DCE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Информационный охват проекта не менее 20 000 просмотров.</w:t>
            </w:r>
          </w:p>
          <w:p w:rsidR="00972DCE" w:rsidRDefault="00972DC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Предоставление 6 малых грантов на общую сумму 1 000 000 тенге в целях поддержки урбанистических инициатив сельской молодежи;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="001D7DCD">
              <w:rPr>
                <w:rFonts w:ascii="Times New Roman" w:eastAsia="Times New Roman" w:hAnsi="Times New Roman" w:cs="Times New Roman"/>
              </w:rPr>
              <w:t>Подготовление и распространение не менее 6 качественных информационных видеороликов и фотосессий об инициативной сельской молодежи с охватом не менее 15 000 просмотров;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 xml:space="preserve">Сопровождение реализации 6 малых грантов через менторскую и консультационную поддержку 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выставки лучших урбанистических инициатив сельской молодежи;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Патриотическое и военное воспитание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молодежи региона</w:t>
            </w:r>
          </w:p>
        </w:tc>
        <w:tc>
          <w:tcPr>
            <w:tcW w:w="3960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настоящее время среди молодежи недостаточно развито чувство патриотизма, понимание значимости прохождения военной службы и уровня гражданской ответственности.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Негативные настроения в информационном пространстве, ложные идеологии и примеры деструктивного поведения оказывают отрицательное влияние на осознание молодежью своего долга перед государством.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Мангистауской области мероприятия по военно-патриотическому воспитанию молодежи проводятся в основном эпизодически и в теоретическом формате. Комплексные проекты, охватывающие молодежь в практическом и интерактивном формате с участием военнослужащих, ветеранов и профильных специалистов, организованы недостаточно.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связи с этим возникает необходимость реализации комплексного проекта по военно-патриотическому воспитанию молодежи региона, направленного на формирование у них патриотического духа, ценностей дисциплины и ответственности.</w:t>
            </w: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8 500 000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Обеспечение прямого охвата не менее 2 500 молодых людей в мероприятиях по военно-патриотическому воспитанию;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Доля участников проекта, отмечающих повышение уровня патриотизма, гражданской ответственности и положительного отношения к военной службе — не менее 75 % (по итогам опроса).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Информационный охват проекта не менее 20 000 просмотров.</w:t>
            </w: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Открытие и организация постоянной работы военно-патриотического фронт-офиса «Отанға қызмет» при Молодежном ресурсном центре Мангистауской области.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обучающего семинара для повышения квалификации не менее 70 учителей военной подготовки предмета НВП и общественных активистов;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Проведение в районах и городах Мангистауской области не менее 7 встреч в военно-патриотическом направлении с охватом не менее 1 500 молодых людей;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 xml:space="preserve">Организация на районном и городском уровнях не менее 7 </w:t>
            </w:r>
            <w:r w:rsidR="001D7DCD">
              <w:rPr>
                <w:rFonts w:ascii="Times New Roman" w:eastAsia="Times New Roman" w:hAnsi="Times New Roman" w:cs="Times New Roman"/>
              </w:rPr>
              <w:lastRenderedPageBreak/>
              <w:t>конкурсов, а также итоговый областной конкурс.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5.</w:t>
            </w:r>
            <w:r w:rsidR="001D7DCD">
              <w:rPr>
                <w:rFonts w:ascii="Times New Roman" w:eastAsia="Times New Roman" w:hAnsi="Times New Roman" w:cs="Times New Roman"/>
              </w:rPr>
              <w:t xml:space="preserve">Проведение итогового мероприятия на областном уровне по итогам проекта. 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</w:rPr>
              <w:t xml:space="preserve">Продвижение проекта </w:t>
            </w:r>
            <w:r w:rsidR="001D7DCD">
              <w:rPr>
                <w:rFonts w:ascii="Times New Roman" w:eastAsia="Times New Roman" w:hAnsi="Times New Roman" w:cs="Times New Roman"/>
              </w:rPr>
              <w:t>через социальные сети и СМИ, с информационным охватом не менее 20 000 просмотров.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Продвижение идеологии закона и порядка среди молодежи региона</w:t>
            </w:r>
          </w:p>
        </w:tc>
        <w:tc>
          <w:tcPr>
            <w:tcW w:w="3960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среди молодежи наблюдается низкий уровень правовой грамотности, недостаточное знание требований закона, а также влияние через интернет противоправной информации и деструктивных моделей поведения, что способствует росту правонарушений. Особенно высок риск совершения мелких правонарушений, интернет-мошенничества и вовлечения в киберпреступления среди подростков и молодежи.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Мангистауской области недостаточно профилактических проектов, направленных на популяризацию закона и порядка среди молодежи, которые бы доносили информацию понятным языком и опирались на жизненные примеры. Важно объяснять требования закона не только как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средство наказания, но и как гарантию личной безопасности и будущего.</w:t>
            </w:r>
          </w:p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связи с этим возникает необходимость реализации комплексного информационно-просветительского проекта, направленного на повышение правовой культуры молодежи, формирование уважения к закону и предотвращение правонарушений.</w:t>
            </w: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8 000 000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Обеспечение прямого охвата не менее 2 500 молодых людей в мероприятиях, направленных на продвижение идеологии закона и порядка;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 w:rsidR="001D7DCD">
              <w:rPr>
                <w:rFonts w:ascii="Times New Roman" w:eastAsia="Times New Roman" w:hAnsi="Times New Roman" w:cs="Times New Roman"/>
              </w:rPr>
              <w:t>Доля участников проекта, отмечающих повышение уровня правовых знаний - не менее 75 % (по итогам опросов);</w:t>
            </w:r>
          </w:p>
          <w:p w:rsidR="005B03DA" w:rsidRDefault="00972DCE" w:rsidP="00972DC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>
              <w:rPr>
                <w:rFonts w:ascii="Times New Roman" w:eastAsia="Times New Roman" w:hAnsi="Times New Roman" w:cs="Times New Roman"/>
              </w:rPr>
              <w:t>Обеспечение информационного охвата проекта не менее 20 000 просмотров.</w:t>
            </w:r>
          </w:p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972DCE" w:rsidRDefault="00972DCE" w:rsidP="00972DCE">
            <w:pPr>
              <w:tabs>
                <w:tab w:val="left" w:pos="45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1.</w:t>
            </w:r>
            <w:r w:rsidR="001D7DCD">
              <w:rPr>
                <w:rFonts w:ascii="Times New Roman" w:eastAsia="Times New Roman" w:hAnsi="Times New Roman" w:cs="Times New Roman"/>
              </w:rPr>
              <w:t>Сформирование пула волонтеров «Жас заң елшілері» и повысить квалификацию не менее 50 молодых лидеров;</w:t>
            </w:r>
          </w:p>
          <w:p w:rsidR="005B03DA" w:rsidRPr="00972DCE" w:rsidRDefault="00972DCE" w:rsidP="00972DCE">
            <w:pPr>
              <w:tabs>
                <w:tab w:val="left" w:pos="45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2.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Организация с участием правоохранительных органов, юристов и медиаторов не менее 7 правовых встреч для молодежи с охватом всех районов и городов региона, а также 1 итоговую панельную сессию по завершении проекта;</w:t>
            </w:r>
          </w:p>
          <w:p w:rsidR="005B03DA" w:rsidRDefault="00972DCE" w:rsidP="00972DCE">
            <w:pPr>
              <w:tabs>
                <w:tab w:val="left" w:pos="45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не менее 4 интерактивных тренингов и семинаров, направленных на профилактику правонарушений среди молодежи региона;</w:t>
            </w:r>
          </w:p>
          <w:p w:rsidR="005B03DA" w:rsidRDefault="00972DCE" w:rsidP="00972DCE">
            <w:pPr>
              <w:tabs>
                <w:tab w:val="left" w:pos="45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4.</w:t>
            </w:r>
            <w:r w:rsidR="001D7DCD">
              <w:rPr>
                <w:rFonts w:ascii="Times New Roman" w:eastAsia="Times New Roman" w:hAnsi="Times New Roman" w:cs="Times New Roman"/>
              </w:rPr>
              <w:t>Подготовка и распространение не менее 7 коротких видеороликов на тему «Закон и порядок» для публикации в социальных сетях;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422"/>
        </w:trPr>
        <w:tc>
          <w:tcPr>
            <w:tcW w:w="7290" w:type="dxa"/>
            <w:gridSpan w:val="4"/>
            <w:vAlign w:val="center"/>
          </w:tcPr>
          <w:p w:rsidR="005B03DA" w:rsidRDefault="001D7DCD">
            <w:pPr>
              <w:tabs>
                <w:tab w:val="left" w:pos="39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980" w:type="dxa"/>
            <w:vAlign w:val="center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65 000 000</w:t>
            </w:r>
          </w:p>
        </w:tc>
        <w:tc>
          <w:tcPr>
            <w:tcW w:w="1065" w:type="dxa"/>
            <w:vAlign w:val="center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558" w:type="dxa"/>
            <w:vAlign w:val="center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heading=h.q5oz5xykks2t" w:colFirst="0" w:colLast="0"/>
            <w:bookmarkEnd w:id="0"/>
          </w:p>
        </w:tc>
        <w:tc>
          <w:tcPr>
            <w:tcW w:w="1276" w:type="dxa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5B03DA" w:rsidRDefault="005B03DA">
      <w:pPr>
        <w:rPr>
          <w:rFonts w:ascii="Times New Roman" w:eastAsia="Times New Roman" w:hAnsi="Times New Roman" w:cs="Times New Roman"/>
          <w:b/>
          <w:bCs/>
        </w:rPr>
      </w:pPr>
    </w:p>
    <w:sectPr w:rsidR="005B03DA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2A1685-E9BE-4FE6-9A52-8C6EDF8B7EBE}"/>
    <w:embedBold r:id="rId2" w:fontKey="{C416D52E-C2A9-4A27-BBB3-AF3F29B0B26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B82EBC1-EFB6-48B0-8550-2522A875F04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CE44EB6-25C4-4F26-AECB-847067A8DCB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8750B"/>
    <w:multiLevelType w:val="multilevel"/>
    <w:tmpl w:val="157A4F72"/>
    <w:lvl w:ilvl="0">
      <w:start w:val="1"/>
      <w:numFmt w:val="decimal"/>
      <w:lvlText w:val="%1)"/>
      <w:lvlJc w:val="left"/>
      <w:pPr>
        <w:ind w:left="657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2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34725"/>
    <w:multiLevelType w:val="multilevel"/>
    <w:tmpl w:val="4B50C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92AD7"/>
    <w:multiLevelType w:val="multilevel"/>
    <w:tmpl w:val="7608B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313AE"/>
    <w:multiLevelType w:val="multilevel"/>
    <w:tmpl w:val="65F84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BA1104"/>
    <w:multiLevelType w:val="multilevel"/>
    <w:tmpl w:val="09A2E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953E3"/>
    <w:multiLevelType w:val="multilevel"/>
    <w:tmpl w:val="F8683A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C2EAF"/>
    <w:multiLevelType w:val="multilevel"/>
    <w:tmpl w:val="4118B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73FE4"/>
    <w:multiLevelType w:val="multilevel"/>
    <w:tmpl w:val="C2801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84715"/>
    <w:multiLevelType w:val="multilevel"/>
    <w:tmpl w:val="87C05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53288"/>
    <w:multiLevelType w:val="multilevel"/>
    <w:tmpl w:val="6CB86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26689"/>
    <w:multiLevelType w:val="multilevel"/>
    <w:tmpl w:val="B8D8A6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9688E"/>
    <w:multiLevelType w:val="multilevel"/>
    <w:tmpl w:val="D8189130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240BF"/>
    <w:multiLevelType w:val="multilevel"/>
    <w:tmpl w:val="2A880EE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D09E1"/>
    <w:multiLevelType w:val="multilevel"/>
    <w:tmpl w:val="3B9E879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058856">
    <w:abstractNumId w:val="2"/>
  </w:num>
  <w:num w:numId="2" w16cid:durableId="1718045812">
    <w:abstractNumId w:val="12"/>
  </w:num>
  <w:num w:numId="3" w16cid:durableId="1814713564">
    <w:abstractNumId w:val="10"/>
  </w:num>
  <w:num w:numId="4" w16cid:durableId="1675524016">
    <w:abstractNumId w:val="11"/>
  </w:num>
  <w:num w:numId="5" w16cid:durableId="1006980695">
    <w:abstractNumId w:val="4"/>
  </w:num>
  <w:num w:numId="6" w16cid:durableId="17852852">
    <w:abstractNumId w:val="1"/>
  </w:num>
  <w:num w:numId="7" w16cid:durableId="1439451410">
    <w:abstractNumId w:val="6"/>
  </w:num>
  <w:num w:numId="8" w16cid:durableId="1161774384">
    <w:abstractNumId w:val="8"/>
  </w:num>
  <w:num w:numId="9" w16cid:durableId="482743426">
    <w:abstractNumId w:val="5"/>
  </w:num>
  <w:num w:numId="10" w16cid:durableId="1330912715">
    <w:abstractNumId w:val="9"/>
  </w:num>
  <w:num w:numId="11" w16cid:durableId="975137843">
    <w:abstractNumId w:val="7"/>
  </w:num>
  <w:num w:numId="12" w16cid:durableId="734163521">
    <w:abstractNumId w:val="13"/>
  </w:num>
  <w:num w:numId="13" w16cid:durableId="1304115500">
    <w:abstractNumId w:val="0"/>
  </w:num>
  <w:num w:numId="14" w16cid:durableId="315501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3DA"/>
    <w:rsid w:val="001D7DCD"/>
    <w:rsid w:val="003F14DD"/>
    <w:rsid w:val="005B03DA"/>
    <w:rsid w:val="006E7047"/>
    <w:rsid w:val="00884186"/>
    <w:rsid w:val="00972DCE"/>
    <w:rsid w:val="00B33680"/>
    <w:rsid w:val="00C2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047E"/>
  <w15:docId w15:val="{F2004044-0404-40B9-8328-F586EA9E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VUgO6efQS0n/5fp4FsdHc2E4Nw==">CgMxLjAyDmgucTVvejV4eWtrczJ0OAByITFEYWQxMU1YMEJkbEVzeFJLQjFFMnZzM2I0Y3haRFFaVg==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2264</Words>
  <Characters>12909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8</cp:revision>
  <dcterms:created xsi:type="dcterms:W3CDTF">2025-04-14T11:49:00Z</dcterms:created>
  <dcterms:modified xsi:type="dcterms:W3CDTF">2026-02-09T05:51:00Z</dcterms:modified>
</cp:coreProperties>
</file>