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511" w:rsidRPr="00456511" w:rsidRDefault="00456511" w:rsidP="00456511">
      <w:pPr>
        <w:shd w:val="clear" w:color="auto" w:fill="FFFFFF" w:themeFill="background1"/>
        <w:ind w:left="10348"/>
        <w:contextualSpacing/>
        <w:jc w:val="center"/>
        <w:rPr>
          <w:bCs/>
          <w:color w:val="000000" w:themeColor="text1"/>
          <w:lang w:val="kk-KZ"/>
        </w:rPr>
      </w:pPr>
      <w:r w:rsidRPr="00456511">
        <w:rPr>
          <w:bCs/>
          <w:color w:val="000000" w:themeColor="text1"/>
          <w:lang w:val="kk-KZ"/>
        </w:rPr>
        <w:t xml:space="preserve">Қазақстан Республикасы </w:t>
      </w:r>
    </w:p>
    <w:p w:rsidR="003349B8" w:rsidRPr="00F7238C" w:rsidRDefault="00456511" w:rsidP="00456511">
      <w:pPr>
        <w:shd w:val="clear" w:color="auto" w:fill="FFFFFF" w:themeFill="background1"/>
        <w:ind w:left="10348"/>
        <w:contextualSpacing/>
        <w:jc w:val="center"/>
        <w:rPr>
          <w:bCs/>
          <w:color w:val="000000" w:themeColor="text1"/>
          <w:lang w:val="kk-KZ"/>
        </w:rPr>
      </w:pPr>
      <w:r w:rsidRPr="00456511">
        <w:rPr>
          <w:bCs/>
          <w:color w:val="000000" w:themeColor="text1"/>
          <w:lang w:val="kk-KZ"/>
        </w:rPr>
        <w:t>Премьер-Министрінің орынбасары</w:t>
      </w:r>
      <w:r>
        <w:rPr>
          <w:bCs/>
          <w:color w:val="000000" w:themeColor="text1"/>
          <w:lang w:val="kk-KZ"/>
        </w:rPr>
        <w:t>ның</w:t>
      </w:r>
      <w:r w:rsidRPr="00456511">
        <w:rPr>
          <w:bCs/>
          <w:color w:val="000000" w:themeColor="text1"/>
          <w:lang w:val="kk-KZ"/>
        </w:rPr>
        <w:t xml:space="preserve"> </w:t>
      </w:r>
      <w:r>
        <w:rPr>
          <w:bCs/>
          <w:color w:val="000000" w:themeColor="text1"/>
          <w:lang w:val="kk-KZ"/>
        </w:rPr>
        <w:t xml:space="preserve">- </w:t>
      </w:r>
      <w:r w:rsidR="005B0047" w:rsidRPr="008A3C4B">
        <w:rPr>
          <w:bCs/>
          <w:color w:val="000000" w:themeColor="text1"/>
          <w:lang w:val="kk-KZ"/>
        </w:rPr>
        <w:t xml:space="preserve">Қазақстан Республикасы </w:t>
      </w:r>
      <w:r w:rsidR="005A4589" w:rsidRPr="008A3C4B">
        <w:rPr>
          <w:bCs/>
          <w:color w:val="000000" w:themeColor="text1"/>
          <w:lang w:val="kk-KZ"/>
        </w:rPr>
        <w:t>М</w:t>
      </w:r>
      <w:r w:rsidR="0041412D" w:rsidRPr="008A3C4B">
        <w:rPr>
          <w:bCs/>
          <w:color w:val="000000" w:themeColor="text1"/>
          <w:lang w:val="kk-KZ"/>
        </w:rPr>
        <w:t xml:space="preserve">әдениет және ақпарат </w:t>
      </w:r>
      <w:r w:rsidR="00AC28BD" w:rsidRPr="008A3C4B">
        <w:rPr>
          <w:bCs/>
          <w:color w:val="000000" w:themeColor="text1"/>
          <w:lang w:val="kk-KZ"/>
        </w:rPr>
        <w:t>министр</w:t>
      </w:r>
      <w:r w:rsidR="00F77338">
        <w:rPr>
          <w:bCs/>
          <w:color w:val="000000" w:themeColor="text1"/>
          <w:lang w:val="kk-KZ"/>
        </w:rPr>
        <w:t>інің</w:t>
      </w:r>
    </w:p>
    <w:p w:rsidR="005B0047" w:rsidRPr="008A3C4B" w:rsidRDefault="005B0047" w:rsidP="0041412D">
      <w:pPr>
        <w:shd w:val="clear" w:color="auto" w:fill="FFFFFF" w:themeFill="background1"/>
        <w:ind w:left="10348"/>
        <w:contextualSpacing/>
        <w:jc w:val="center"/>
        <w:rPr>
          <w:bCs/>
          <w:color w:val="000000" w:themeColor="text1"/>
          <w:lang w:val="kk-KZ"/>
        </w:rPr>
      </w:pPr>
      <w:r w:rsidRPr="008A3C4B">
        <w:rPr>
          <w:bCs/>
          <w:color w:val="000000" w:themeColor="text1"/>
          <w:lang w:val="kk-KZ"/>
        </w:rPr>
        <w:t xml:space="preserve">_______ жылғы  </w:t>
      </w:r>
      <w:r w:rsidR="005A4589" w:rsidRPr="008A3C4B">
        <w:rPr>
          <w:bCs/>
          <w:color w:val="000000" w:themeColor="text1"/>
          <w:lang w:val="kk-KZ"/>
        </w:rPr>
        <w:t>«</w:t>
      </w:r>
      <w:r w:rsidRPr="008A3C4B">
        <w:rPr>
          <w:bCs/>
          <w:color w:val="000000" w:themeColor="text1"/>
          <w:lang w:val="kk-KZ"/>
        </w:rPr>
        <w:t>___</w:t>
      </w:r>
      <w:r w:rsidR="005A4589" w:rsidRPr="008A3C4B">
        <w:rPr>
          <w:bCs/>
          <w:color w:val="000000" w:themeColor="text1"/>
          <w:lang w:val="kk-KZ"/>
        </w:rPr>
        <w:t>»</w:t>
      </w:r>
      <w:r w:rsidRPr="008A3C4B">
        <w:rPr>
          <w:bCs/>
          <w:color w:val="000000" w:themeColor="text1"/>
          <w:lang w:val="kk-KZ"/>
        </w:rPr>
        <w:t xml:space="preserve"> </w:t>
      </w:r>
      <w:r w:rsidR="00521189">
        <w:rPr>
          <w:bCs/>
          <w:color w:val="000000" w:themeColor="text1"/>
          <w:lang w:val="kk-KZ"/>
        </w:rPr>
        <w:t>ақпан</w:t>
      </w:r>
      <w:r w:rsidR="00261EEB">
        <w:rPr>
          <w:bCs/>
          <w:color w:val="000000" w:themeColor="text1"/>
          <w:lang w:val="kk-KZ"/>
        </w:rPr>
        <w:t>дағы</w:t>
      </w:r>
      <w:r w:rsidRPr="008A3C4B">
        <w:rPr>
          <w:bCs/>
          <w:color w:val="000000" w:themeColor="text1"/>
          <w:lang w:val="kk-KZ"/>
        </w:rPr>
        <w:t xml:space="preserve"> </w:t>
      </w:r>
      <w:r w:rsidRPr="008A3C4B">
        <w:rPr>
          <w:bCs/>
          <w:color w:val="000000" w:themeColor="text1"/>
          <w:lang w:val="kk-KZ"/>
        </w:rPr>
        <w:br/>
        <w:t>№ ____</w:t>
      </w:r>
    </w:p>
    <w:p w:rsidR="005B0047" w:rsidRPr="008A3C4B" w:rsidRDefault="005B0047" w:rsidP="005B0047">
      <w:pPr>
        <w:shd w:val="clear" w:color="auto" w:fill="FFFFFF" w:themeFill="background1"/>
        <w:ind w:left="10348"/>
        <w:contextualSpacing/>
        <w:jc w:val="center"/>
        <w:rPr>
          <w:bCs/>
          <w:color w:val="000000" w:themeColor="text1"/>
          <w:lang w:val="kk-KZ"/>
        </w:rPr>
      </w:pPr>
      <w:r w:rsidRPr="008A3C4B">
        <w:rPr>
          <w:bCs/>
          <w:color w:val="000000" w:themeColor="text1"/>
          <w:lang w:val="kk-KZ"/>
        </w:rPr>
        <w:t>бұйрығымен бекітілген</w:t>
      </w:r>
    </w:p>
    <w:p w:rsidR="005B0047" w:rsidRPr="008A3C4B" w:rsidRDefault="005B0047" w:rsidP="005B0047">
      <w:pPr>
        <w:pStyle w:val="3"/>
        <w:spacing w:before="0" w:beforeAutospacing="0" w:after="0" w:afterAutospacing="0"/>
        <w:contextualSpacing/>
        <w:rPr>
          <w:sz w:val="24"/>
          <w:szCs w:val="24"/>
          <w:lang w:val="kk-KZ"/>
        </w:rPr>
      </w:pPr>
    </w:p>
    <w:p w:rsidR="00B954CB" w:rsidRPr="008A3C4B" w:rsidRDefault="00CC4A44" w:rsidP="009C19CD">
      <w:pPr>
        <w:jc w:val="center"/>
        <w:rPr>
          <w:lang w:val="kk-KZ"/>
        </w:rPr>
      </w:pPr>
      <w:r>
        <w:rPr>
          <w:b/>
          <w:bCs/>
          <w:lang w:val="kk-KZ"/>
        </w:rPr>
        <w:t>Ү</w:t>
      </w:r>
      <w:r w:rsidR="00E926F2" w:rsidRPr="008A3C4B">
        <w:rPr>
          <w:b/>
          <w:bCs/>
          <w:lang w:val="kk-KZ"/>
        </w:rPr>
        <w:t>кіметтік емес ұйымдарға берілетін мемлекеттік</w:t>
      </w:r>
      <w:r w:rsidR="00E926F2" w:rsidRPr="008A3C4B">
        <w:rPr>
          <w:b/>
          <w:bCs/>
          <w:lang w:val="kk-KZ"/>
        </w:rPr>
        <w:br/>
        <w:t xml:space="preserve"> гранттардың </w:t>
      </w:r>
      <w:r w:rsidRPr="008A3C4B">
        <w:rPr>
          <w:b/>
          <w:bCs/>
          <w:lang w:val="kk-KZ"/>
        </w:rPr>
        <w:t>202</w:t>
      </w:r>
      <w:r>
        <w:rPr>
          <w:b/>
          <w:bCs/>
          <w:lang w:val="kk-KZ"/>
        </w:rPr>
        <w:t>6</w:t>
      </w:r>
      <w:r w:rsidRPr="008A3C4B">
        <w:rPr>
          <w:b/>
          <w:bCs/>
          <w:lang w:val="kk-KZ"/>
        </w:rPr>
        <w:t xml:space="preserve"> жылға арналған </w:t>
      </w:r>
      <w:r w:rsidR="00E926F2" w:rsidRPr="008A3C4B">
        <w:rPr>
          <w:b/>
          <w:bCs/>
          <w:lang w:val="kk-KZ"/>
        </w:rPr>
        <w:t>бағыттарының</w:t>
      </w:r>
      <w:r w:rsidR="00E926F2" w:rsidRPr="008A3C4B">
        <w:rPr>
          <w:b/>
          <w:lang w:val="kk-KZ"/>
        </w:rPr>
        <w:t xml:space="preserve"> </w:t>
      </w:r>
      <w:r w:rsidR="005B0047" w:rsidRPr="008A3C4B">
        <w:rPr>
          <w:b/>
          <w:lang w:val="kk-KZ"/>
        </w:rPr>
        <w:t>тізбесі</w:t>
      </w:r>
    </w:p>
    <w:p w:rsidR="005B0047" w:rsidRPr="008A3C4B" w:rsidRDefault="005B0047" w:rsidP="00B954CB">
      <w:pPr>
        <w:pStyle w:val="3"/>
        <w:spacing w:before="0" w:beforeAutospacing="0" w:after="0" w:afterAutospacing="0"/>
        <w:ind w:firstLine="709"/>
        <w:jc w:val="center"/>
        <w:rPr>
          <w:b w:val="0"/>
          <w:sz w:val="24"/>
          <w:szCs w:val="24"/>
          <w:lang w:val="kk-KZ"/>
        </w:rPr>
      </w:pPr>
    </w:p>
    <w:tbl>
      <w:tblPr>
        <w:tblpPr w:leftFromText="180" w:rightFromText="180" w:vertAnchor="text" w:tblpXSpec="center" w:tblpY="1"/>
        <w:tblOverlap w:val="never"/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559"/>
        <w:gridCol w:w="1276"/>
        <w:gridCol w:w="3827"/>
        <w:gridCol w:w="1417"/>
        <w:gridCol w:w="851"/>
        <w:gridCol w:w="1276"/>
        <w:gridCol w:w="3400"/>
        <w:gridCol w:w="1561"/>
      </w:tblGrid>
      <w:tr w:rsidR="006914C2" w:rsidRPr="00171B4C" w:rsidTr="00171B4C">
        <w:trPr>
          <w:trHeight w:val="896"/>
        </w:trPr>
        <w:tc>
          <w:tcPr>
            <w:tcW w:w="704" w:type="dxa"/>
            <w:shd w:val="clear" w:color="auto" w:fill="D0CECE" w:themeFill="background2" w:themeFillShade="E6"/>
          </w:tcPr>
          <w:p w:rsidR="006914C2" w:rsidRPr="008A3C4B" w:rsidRDefault="006914C2" w:rsidP="0017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kk-KZ"/>
              </w:rPr>
            </w:pPr>
            <w:r w:rsidRPr="008A3C4B">
              <w:rPr>
                <w:b/>
                <w:lang w:val="kk-KZ"/>
              </w:rPr>
              <w:t>№ р/с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:rsidR="006914C2" w:rsidRPr="008A3C4B" w:rsidRDefault="006914C2" w:rsidP="00171B4C">
            <w:pPr>
              <w:pStyle w:val="a8"/>
              <w:jc w:val="center"/>
              <w:rPr>
                <w:b/>
                <w:lang w:val="kk-KZ"/>
              </w:rPr>
            </w:pPr>
            <w:r w:rsidRPr="008A3C4B">
              <w:rPr>
                <w:b/>
                <w:lang w:val="kk-KZ"/>
              </w:rPr>
              <w:t>Заңның</w:t>
            </w:r>
            <w:r w:rsidRPr="008A3C4B">
              <w:rPr>
                <w:b/>
                <w:lang w:val="kk-KZ"/>
              </w:rPr>
              <w:br/>
              <w:t>5-бабының 1-тармағына сәйкес мемлекеттік грант саласы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914C2" w:rsidRPr="008A3C4B" w:rsidRDefault="006914C2" w:rsidP="00171B4C">
            <w:pPr>
              <w:pStyle w:val="a8"/>
              <w:jc w:val="center"/>
              <w:rPr>
                <w:b/>
                <w:lang w:val="kk-KZ"/>
              </w:rPr>
            </w:pPr>
            <w:r w:rsidRPr="008A3C4B">
              <w:rPr>
                <w:b/>
                <w:lang w:val="kk-KZ"/>
              </w:rPr>
              <w:t>Мемлекеттік гранттың бағыты</w:t>
            </w:r>
          </w:p>
        </w:tc>
        <w:tc>
          <w:tcPr>
            <w:tcW w:w="3827" w:type="dxa"/>
            <w:shd w:val="clear" w:color="auto" w:fill="D0CECE" w:themeFill="background2" w:themeFillShade="E6"/>
            <w:vAlign w:val="center"/>
          </w:tcPr>
          <w:p w:rsidR="006914C2" w:rsidRPr="008A3C4B" w:rsidRDefault="006914C2" w:rsidP="00171B4C">
            <w:pPr>
              <w:pStyle w:val="a8"/>
              <w:jc w:val="center"/>
              <w:rPr>
                <w:b/>
                <w:lang w:val="kk-KZ"/>
              </w:rPr>
            </w:pPr>
            <w:r w:rsidRPr="008A3C4B">
              <w:rPr>
                <w:b/>
                <w:lang w:val="kk-KZ"/>
              </w:rPr>
              <w:t>Мәселенің қысқаша сипаттамасы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:rsidR="006914C2" w:rsidRPr="008A3C4B" w:rsidRDefault="006914C2" w:rsidP="00171B4C">
            <w:pPr>
              <w:pStyle w:val="a8"/>
              <w:jc w:val="center"/>
              <w:rPr>
                <w:b/>
                <w:lang w:val="kk-KZ"/>
              </w:rPr>
            </w:pPr>
            <w:r w:rsidRPr="008A3C4B">
              <w:rPr>
                <w:b/>
                <w:lang w:val="kk-KZ"/>
              </w:rPr>
              <w:t>Қаржыландыру көлемі (мың теңге)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:rsidR="006914C2" w:rsidRPr="008A3C4B" w:rsidRDefault="006914C2" w:rsidP="00171B4C">
            <w:pPr>
              <w:pStyle w:val="a8"/>
              <w:jc w:val="center"/>
              <w:rPr>
                <w:b/>
                <w:lang w:val="kk-KZ"/>
              </w:rPr>
            </w:pPr>
            <w:r w:rsidRPr="006914C2">
              <w:rPr>
                <w:b/>
                <w:lang w:val="kk-KZ"/>
              </w:rPr>
              <w:t>Грант түрі және грантты іске асыру мерзімі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6914C2" w:rsidRPr="008A3C4B" w:rsidRDefault="006914C2" w:rsidP="00171B4C">
            <w:pPr>
              <w:pStyle w:val="a8"/>
              <w:jc w:val="center"/>
              <w:rPr>
                <w:b/>
                <w:lang w:val="kk-KZ"/>
              </w:rPr>
            </w:pPr>
            <w:r w:rsidRPr="006914C2">
              <w:rPr>
                <w:b/>
                <w:lang w:val="kk-KZ"/>
              </w:rPr>
              <w:t>Грантты іске асыру аумағы (осы Қағидалардың 6-тармағына сәйкес)</w:t>
            </w:r>
          </w:p>
        </w:tc>
        <w:tc>
          <w:tcPr>
            <w:tcW w:w="3400" w:type="dxa"/>
            <w:shd w:val="clear" w:color="auto" w:fill="D0CECE" w:themeFill="background2" w:themeFillShade="E6"/>
            <w:vAlign w:val="center"/>
          </w:tcPr>
          <w:p w:rsidR="006914C2" w:rsidRPr="008A3C4B" w:rsidRDefault="006914C2" w:rsidP="00171B4C">
            <w:pPr>
              <w:pStyle w:val="a8"/>
              <w:jc w:val="center"/>
              <w:rPr>
                <w:b/>
                <w:lang w:val="kk-KZ"/>
              </w:rPr>
            </w:pPr>
            <w:r w:rsidRPr="008A3C4B">
              <w:rPr>
                <w:b/>
                <w:lang w:val="kk-KZ"/>
              </w:rPr>
              <w:t>Нысаналы индикатор</w:t>
            </w:r>
            <w:r w:rsidR="002B7757">
              <w:rPr>
                <w:b/>
                <w:lang w:val="kk-KZ"/>
              </w:rPr>
              <w:t xml:space="preserve"> және күтілетін нәтижелер</w:t>
            </w:r>
          </w:p>
        </w:tc>
        <w:tc>
          <w:tcPr>
            <w:tcW w:w="1561" w:type="dxa"/>
            <w:shd w:val="clear" w:color="auto" w:fill="D0CECE" w:themeFill="background2" w:themeFillShade="E6"/>
          </w:tcPr>
          <w:p w:rsidR="006914C2" w:rsidRPr="006914C2" w:rsidRDefault="006914C2" w:rsidP="0017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lang w:val="kk-KZ"/>
              </w:rPr>
            </w:pPr>
            <w:r w:rsidRPr="006914C2">
              <w:rPr>
                <w:b/>
                <w:lang w:val="kk-KZ"/>
              </w:rPr>
              <w:t>Материалдық-техникалық базаға қойылатын талаптар</w:t>
            </w:r>
            <w:r w:rsidRPr="006914C2">
              <w:rPr>
                <w:b/>
                <w:lang w:val="kk-KZ"/>
              </w:rPr>
              <w:br/>
              <w:t>(ұзақ мерзімді гранттарды іске асыру кезінде ғана белгіленеді)</w:t>
            </w:r>
          </w:p>
        </w:tc>
      </w:tr>
      <w:tr w:rsidR="006914C2" w:rsidRPr="00102BC1" w:rsidTr="00171B4C">
        <w:trPr>
          <w:trHeight w:val="70"/>
        </w:trPr>
        <w:tc>
          <w:tcPr>
            <w:tcW w:w="15871" w:type="dxa"/>
            <w:gridSpan w:val="9"/>
            <w:shd w:val="clear" w:color="auto" w:fill="BFBFBF" w:themeFill="background1" w:themeFillShade="BF"/>
          </w:tcPr>
          <w:p w:rsidR="006914C2" w:rsidRPr="00F5354B" w:rsidRDefault="006E32F9" w:rsidP="00171B4C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  <w:lang w:val="kk-KZ"/>
              </w:rPr>
            </w:pPr>
            <w:r w:rsidRPr="006E32F9">
              <w:rPr>
                <w:sz w:val="24"/>
                <w:szCs w:val="24"/>
                <w:lang w:val="kk-KZ"/>
              </w:rPr>
              <w:t>Азаматтық қоғам істері комитеті</w:t>
            </w:r>
          </w:p>
        </w:tc>
      </w:tr>
      <w:tr w:rsidR="001E299A" w:rsidRPr="00171B4C" w:rsidTr="00171B4C">
        <w:trPr>
          <w:trHeight w:val="2769"/>
        </w:trPr>
        <w:tc>
          <w:tcPr>
            <w:tcW w:w="704" w:type="dxa"/>
          </w:tcPr>
          <w:p w:rsidR="001E299A" w:rsidRPr="008A3C4B" w:rsidRDefault="001E299A" w:rsidP="00171B4C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</w:p>
        </w:tc>
        <w:tc>
          <w:tcPr>
            <w:tcW w:w="1559" w:type="dxa"/>
          </w:tcPr>
          <w:p w:rsidR="001E299A" w:rsidRPr="00A03457" w:rsidRDefault="001E299A" w:rsidP="00171B4C">
            <w:pPr>
              <w:jc w:val="center"/>
              <w:rPr>
                <w:color w:val="000000"/>
                <w:lang w:val="kk-KZ"/>
              </w:rPr>
            </w:pPr>
            <w:r w:rsidRPr="00A03457">
              <w:rPr>
                <w:color w:val="000000"/>
                <w:lang w:val="kk-KZ"/>
              </w:rPr>
              <w:t>Азаматтық қоғамды дамытуға, оның ішінде үкіметтік емес ұйымдар қызметінің тиімділігін арттыруға жәрдемдесу</w:t>
            </w:r>
          </w:p>
        </w:tc>
        <w:tc>
          <w:tcPr>
            <w:tcW w:w="1276" w:type="dxa"/>
          </w:tcPr>
          <w:p w:rsidR="001E299A" w:rsidRPr="00A03457" w:rsidRDefault="001E299A" w:rsidP="00171B4C">
            <w:pPr>
              <w:jc w:val="both"/>
              <w:rPr>
                <w:color w:val="000000"/>
                <w:lang w:val="kk-KZ"/>
              </w:rPr>
            </w:pPr>
            <w:r w:rsidRPr="00A03457">
              <w:rPr>
                <w:color w:val="000000"/>
                <w:lang w:val="kk-KZ"/>
              </w:rPr>
              <w:t>Қоғамдық кеңестердің әлеуетін арттыру</w:t>
            </w:r>
          </w:p>
          <w:p w:rsidR="001E299A" w:rsidRPr="00A03457" w:rsidRDefault="001E299A" w:rsidP="00171B4C">
            <w:pPr>
              <w:jc w:val="both"/>
              <w:rPr>
                <w:color w:val="000000"/>
                <w:lang w:val="kk-KZ"/>
              </w:rPr>
            </w:pPr>
          </w:p>
          <w:p w:rsidR="001E299A" w:rsidRPr="00A03457" w:rsidRDefault="001E299A" w:rsidP="00171B4C">
            <w:pPr>
              <w:jc w:val="both"/>
              <w:rPr>
                <w:color w:val="000000"/>
                <w:lang w:val="kk-KZ"/>
              </w:rPr>
            </w:pPr>
          </w:p>
          <w:p w:rsidR="001E299A" w:rsidRPr="00A03457" w:rsidRDefault="001E299A" w:rsidP="00171B4C">
            <w:pPr>
              <w:jc w:val="both"/>
              <w:rPr>
                <w:color w:val="000000"/>
              </w:rPr>
            </w:pPr>
          </w:p>
          <w:p w:rsidR="001E299A" w:rsidRPr="00A03457" w:rsidRDefault="001E299A" w:rsidP="00171B4C">
            <w:pPr>
              <w:jc w:val="both"/>
              <w:rPr>
                <w:color w:val="000000"/>
                <w:lang w:val="kk-KZ"/>
              </w:rPr>
            </w:pPr>
          </w:p>
          <w:p w:rsidR="001E299A" w:rsidRPr="00A03457" w:rsidRDefault="001E299A" w:rsidP="00171B4C">
            <w:pPr>
              <w:jc w:val="both"/>
              <w:rPr>
                <w:color w:val="000000"/>
                <w:lang w:val="kk-KZ"/>
              </w:rPr>
            </w:pPr>
          </w:p>
          <w:p w:rsidR="001E299A" w:rsidRPr="00A03457" w:rsidRDefault="001E299A" w:rsidP="00171B4C">
            <w:pPr>
              <w:jc w:val="both"/>
              <w:rPr>
                <w:lang w:val="kk-KZ"/>
              </w:rPr>
            </w:pPr>
            <w:r w:rsidRPr="00A03457">
              <w:rPr>
                <w:lang w:val="kk-KZ"/>
              </w:rPr>
              <w:t xml:space="preserve"> </w:t>
            </w:r>
          </w:p>
          <w:p w:rsidR="001E299A" w:rsidRPr="00A03457" w:rsidRDefault="001E299A" w:rsidP="00171B4C">
            <w:pPr>
              <w:rPr>
                <w:color w:val="000000"/>
                <w:lang w:val="kk-KZ"/>
              </w:rPr>
            </w:pPr>
          </w:p>
        </w:tc>
        <w:tc>
          <w:tcPr>
            <w:tcW w:w="3827" w:type="dxa"/>
          </w:tcPr>
          <w:p w:rsidR="001E299A" w:rsidRPr="00A03457" w:rsidRDefault="001E299A" w:rsidP="00171B4C">
            <w:pPr>
              <w:jc w:val="both"/>
              <w:rPr>
                <w:lang w:val="kk-KZ"/>
              </w:rPr>
            </w:pPr>
            <w:r w:rsidRPr="00A03457">
              <w:rPr>
                <w:lang w:val="kk-KZ"/>
              </w:rPr>
              <w:t xml:space="preserve">Бүгінгі күні республикада 264 Қоғамдық кеңес жұмыс істейді, оның құрамына Қазақстанның шамамен 4000 азаматы кірген. </w:t>
            </w:r>
          </w:p>
          <w:p w:rsidR="001E299A" w:rsidRPr="00A03457" w:rsidRDefault="001E299A" w:rsidP="00171B4C">
            <w:pPr>
              <w:pBdr>
                <w:bottom w:val="single" w:sz="4" w:space="29" w:color="FFFFFF"/>
              </w:pBdr>
              <w:tabs>
                <w:tab w:val="right" w:pos="0"/>
              </w:tabs>
              <w:contextualSpacing/>
              <w:jc w:val="both"/>
              <w:rPr>
                <w:highlight w:val="yellow"/>
                <w:lang w:val="kk-KZ"/>
              </w:rPr>
            </w:pPr>
            <w:r w:rsidRPr="00A03457">
              <w:rPr>
                <w:lang w:val="kk-KZ"/>
              </w:rPr>
              <w:t xml:space="preserve">Қоғамдық кеңестер қоғамдық бақылауды  жүзеге асырады. </w:t>
            </w:r>
            <w:r w:rsidR="00CC4A44">
              <w:rPr>
                <w:lang w:val="kk-KZ"/>
              </w:rPr>
              <w:t>Бұл ретте</w:t>
            </w:r>
            <w:r w:rsidRPr="00A03457">
              <w:rPr>
                <w:lang w:val="kk-KZ"/>
              </w:rPr>
              <w:t xml:space="preserve"> жекелеген, </w:t>
            </w:r>
            <w:r w:rsidR="006803E8">
              <w:rPr>
                <w:lang w:val="kk-KZ"/>
              </w:rPr>
              <w:t>арнайы</w:t>
            </w:r>
            <w:r w:rsidR="006803E8" w:rsidRPr="00A03457">
              <w:rPr>
                <w:lang w:val="kk-KZ"/>
              </w:rPr>
              <w:t xml:space="preserve"> </w:t>
            </w:r>
            <w:r w:rsidRPr="00A03457">
              <w:rPr>
                <w:lang w:val="kk-KZ"/>
              </w:rPr>
              <w:t xml:space="preserve">мәселелерді қарау барысында сарапшыларды тарту қажеттілігі туындайды. Алайда </w:t>
            </w:r>
            <w:r w:rsidR="006803E8">
              <w:rPr>
                <w:lang w:val="kk-KZ"/>
              </w:rPr>
              <w:t xml:space="preserve">практика </w:t>
            </w:r>
            <w:r w:rsidRPr="00A03457">
              <w:rPr>
                <w:lang w:val="kk-KZ"/>
              </w:rPr>
              <w:t xml:space="preserve">көрсеткендей, оларды қаржыландыру мүмкіндігі әрдайым бола бермейді. Қоғамдық кеңестер сайланған сәттен бастап </w:t>
            </w:r>
            <w:r w:rsidRPr="00A03457">
              <w:rPr>
                <w:lang w:val="kk-KZ"/>
              </w:rPr>
              <w:lastRenderedPageBreak/>
              <w:t xml:space="preserve">дербестік пен тәуелсіздік қағидаттары негізінде қызмет етеді. </w:t>
            </w:r>
            <w:r w:rsidR="006803E8">
              <w:rPr>
                <w:lang w:val="kk-KZ"/>
              </w:rPr>
              <w:t>Қоғамдық кеңестер</w:t>
            </w:r>
            <w:r w:rsidR="006803E8" w:rsidRPr="00A03457">
              <w:rPr>
                <w:lang w:val="kk-KZ"/>
              </w:rPr>
              <w:t xml:space="preserve"> </w:t>
            </w:r>
            <w:r w:rsidRPr="00A03457">
              <w:rPr>
                <w:lang w:val="kk-KZ"/>
              </w:rPr>
              <w:t>мүшелерінің белсенді</w:t>
            </w:r>
            <w:r w:rsidR="006803E8">
              <w:rPr>
                <w:lang w:val="kk-KZ"/>
              </w:rPr>
              <w:t xml:space="preserve"> қатысуы</w:t>
            </w:r>
            <w:r w:rsidRPr="00A03457">
              <w:rPr>
                <w:lang w:val="kk-KZ"/>
              </w:rPr>
              <w:t xml:space="preserve"> әртүрлі жобаларды жүзеге асыруға және алынған тәжірибені жұмыс тиімділігін арттыру үшін қолдануға </w:t>
            </w:r>
            <w:r w:rsidR="006803E8">
              <w:rPr>
                <w:lang w:val="kk-KZ"/>
              </w:rPr>
              <w:t>мүмкіндік береді</w:t>
            </w:r>
            <w:r w:rsidRPr="00A03457">
              <w:rPr>
                <w:lang w:val="kk-KZ"/>
              </w:rPr>
              <w:t xml:space="preserve">. Жұмысты жүйелеу және тәжірибемен тұрақты алмасуды қамтамасыз ету мақсатында өңіраралық аймақтық кездесулер өткізу маңызды рөл атқарады. Сонымен қатар </w:t>
            </w:r>
            <w:r w:rsidR="006803E8" w:rsidRPr="00A03457">
              <w:rPr>
                <w:lang w:val="kk-KZ"/>
              </w:rPr>
              <w:t xml:space="preserve">халықты </w:t>
            </w:r>
            <w:r w:rsidRPr="00A03457">
              <w:rPr>
                <w:lang w:val="kk-KZ"/>
              </w:rPr>
              <w:t xml:space="preserve">қоғамдық кеңестердің қызметі туралы ақпараттандыру, ашықтықты арттыру және халықпен өзара іс-қимылдың цифрлық арнасын қамтамасыз ету, ақпараттық қолдау мәселесі өзекті болып қала береді. Мәселен, 2021 және 2023 жылдардағы қоғамдық кеңестердің қызметі туралы </w:t>
            </w:r>
            <w:r w:rsidR="006803E8">
              <w:rPr>
                <w:lang w:val="kk-KZ"/>
              </w:rPr>
              <w:t>ұ</w:t>
            </w:r>
            <w:r w:rsidR="006803E8" w:rsidRPr="00A03457">
              <w:rPr>
                <w:lang w:val="kk-KZ"/>
              </w:rPr>
              <w:t xml:space="preserve">лттық </w:t>
            </w:r>
            <w:r w:rsidRPr="00A03457">
              <w:rPr>
                <w:lang w:val="kk-KZ"/>
              </w:rPr>
              <w:t>баяндамалар</w:t>
            </w:r>
            <w:r w:rsidR="006803E8">
              <w:rPr>
                <w:lang w:val="kk-KZ"/>
              </w:rPr>
              <w:t xml:space="preserve"> деректеріне</w:t>
            </w:r>
            <w:r w:rsidRPr="00A03457">
              <w:rPr>
                <w:lang w:val="kk-KZ"/>
              </w:rPr>
              <w:t xml:space="preserve"> сәйкес кеңестердің қызметі халыққа белгілі бол</w:t>
            </w:r>
            <w:r w:rsidR="006803E8">
              <w:rPr>
                <w:lang w:val="kk-KZ"/>
              </w:rPr>
              <w:t>а қойған жоқ</w:t>
            </w:r>
            <w:r w:rsidRPr="00A03457">
              <w:rPr>
                <w:lang w:val="kk-KZ"/>
              </w:rPr>
              <w:t xml:space="preserve"> және қоғамдық кеңестер арасында коммуникацияның </w:t>
            </w:r>
            <w:r w:rsidR="006803E8">
              <w:rPr>
                <w:lang w:val="kk-KZ"/>
              </w:rPr>
              <w:t>жоқ екендігі жөнінде</w:t>
            </w:r>
            <w:r w:rsidRPr="00A03457">
              <w:rPr>
                <w:lang w:val="kk-KZ"/>
              </w:rPr>
              <w:t xml:space="preserve"> шағымдар болды. Қоғамдық кеңес мүшелерінің халықпен негізгі онлайн алаңы ретінде www.kazkenes.kz платформасын пайдалануға азаматтардың кеңінен </w:t>
            </w:r>
            <w:r w:rsidR="006803E8">
              <w:rPr>
                <w:lang w:val="kk-KZ"/>
              </w:rPr>
              <w:t xml:space="preserve">жұмылуын </w:t>
            </w:r>
            <w:r w:rsidR="006803E8" w:rsidRPr="00A03457">
              <w:rPr>
                <w:lang w:val="kk-KZ"/>
              </w:rPr>
              <w:t xml:space="preserve"> </w:t>
            </w:r>
            <w:r w:rsidRPr="00A03457">
              <w:rPr>
                <w:lang w:val="kk-KZ"/>
              </w:rPr>
              <w:t xml:space="preserve">қамтамасыз ету қажет. Сондай-ақ интерфейсті, интерактивті мүмкіндіктерді кеңейтуді және </w:t>
            </w:r>
            <w:r w:rsidRPr="00A03457">
              <w:rPr>
                <w:lang w:val="kk-KZ"/>
              </w:rPr>
              <w:lastRenderedPageBreak/>
              <w:t xml:space="preserve">заманауи коммуникация құралдарын біріктіруді жаңғырту қажет, бұл азаматтардың алаңдағы жұмысын жеңілдетуге мүмкіндік береді. </w:t>
            </w:r>
          </w:p>
          <w:p w:rsidR="001E299A" w:rsidRPr="00A03457" w:rsidRDefault="001E299A" w:rsidP="00171B4C">
            <w:pPr>
              <w:pBdr>
                <w:bottom w:val="single" w:sz="4" w:space="29" w:color="FFFFFF"/>
              </w:pBdr>
              <w:tabs>
                <w:tab w:val="right" w:pos="0"/>
              </w:tabs>
              <w:contextualSpacing/>
              <w:jc w:val="both"/>
              <w:rPr>
                <w:lang w:val="kk-KZ"/>
              </w:rPr>
            </w:pPr>
            <w:r w:rsidRPr="00A03457">
              <w:rPr>
                <w:lang w:val="kk-KZ"/>
              </w:rPr>
              <w:t>Сонымен қатар «Қоғамдық кеңестер туралы» Заң аясында қоғамдық кеңестердің мүшелері қоғамдық бақылауды белсенді түрде жүзеге асырып келеді. Осыған қарамастан, қоғамдық кеңестердің қызметіне тартылу деңгейін арттыру үшін іс-шараларды ресурстық тұрғыдан қамтамасыз ету және олардың бастамаларын қолдау қажет.</w:t>
            </w:r>
          </w:p>
        </w:tc>
        <w:tc>
          <w:tcPr>
            <w:tcW w:w="1417" w:type="dxa"/>
          </w:tcPr>
          <w:p w:rsidR="001E299A" w:rsidRPr="00A03457" w:rsidRDefault="001E299A" w:rsidP="00171B4C">
            <w:pPr>
              <w:jc w:val="both"/>
              <w:rPr>
                <w:color w:val="000000"/>
                <w:lang w:val="kk-KZ"/>
              </w:rPr>
            </w:pPr>
            <w:r w:rsidRPr="00A03457">
              <w:rPr>
                <w:color w:val="000000"/>
                <w:lang w:val="kk-KZ"/>
              </w:rPr>
              <w:lastRenderedPageBreak/>
              <w:t>2026 жыл –   28 250</w:t>
            </w:r>
          </w:p>
          <w:p w:rsidR="001E299A" w:rsidRPr="00A03457" w:rsidRDefault="001E299A" w:rsidP="00171B4C">
            <w:pPr>
              <w:jc w:val="both"/>
              <w:rPr>
                <w:color w:val="000000"/>
                <w:lang w:val="kk-KZ"/>
              </w:rPr>
            </w:pPr>
          </w:p>
          <w:p w:rsidR="001E299A" w:rsidRPr="00A03457" w:rsidRDefault="001E299A" w:rsidP="00171B4C">
            <w:pPr>
              <w:jc w:val="both"/>
              <w:rPr>
                <w:color w:val="000000"/>
                <w:lang w:val="kk-KZ"/>
              </w:rPr>
            </w:pPr>
            <w:r w:rsidRPr="00A03457">
              <w:rPr>
                <w:color w:val="000000"/>
                <w:lang w:val="kk-KZ"/>
              </w:rPr>
              <w:t>2027 жыл – 42</w:t>
            </w:r>
            <w:r w:rsidR="00CC4A44">
              <w:rPr>
                <w:color w:val="000000"/>
                <w:lang w:val="kk-KZ"/>
              </w:rPr>
              <w:t> </w:t>
            </w:r>
            <w:r w:rsidRPr="00A03457">
              <w:rPr>
                <w:color w:val="000000"/>
                <w:lang w:val="kk-KZ"/>
              </w:rPr>
              <w:t>942</w:t>
            </w:r>
          </w:p>
        </w:tc>
        <w:tc>
          <w:tcPr>
            <w:tcW w:w="851" w:type="dxa"/>
          </w:tcPr>
          <w:p w:rsidR="001E299A" w:rsidRPr="00A03457" w:rsidRDefault="001E299A" w:rsidP="00171B4C">
            <w:pPr>
              <w:jc w:val="both"/>
              <w:rPr>
                <w:color w:val="000000"/>
                <w:lang w:val="kk-KZ"/>
              </w:rPr>
            </w:pPr>
            <w:r w:rsidRPr="00A03457">
              <w:rPr>
                <w:color w:val="000000"/>
                <w:lang w:val="kk-KZ"/>
              </w:rPr>
              <w:t>1 орта мерзімді грант</w:t>
            </w:r>
          </w:p>
          <w:p w:rsidR="001E299A" w:rsidRPr="00A03457" w:rsidRDefault="001E299A" w:rsidP="00171B4C">
            <w:pPr>
              <w:jc w:val="both"/>
              <w:rPr>
                <w:color w:val="000000"/>
                <w:lang w:val="kk-KZ"/>
              </w:rPr>
            </w:pPr>
          </w:p>
          <w:p w:rsidR="001E299A" w:rsidRPr="00A03457" w:rsidRDefault="001E299A" w:rsidP="00171B4C">
            <w:pPr>
              <w:jc w:val="both"/>
              <w:rPr>
                <w:i/>
                <w:color w:val="000000"/>
                <w:lang w:val="kk-KZ"/>
              </w:rPr>
            </w:pPr>
            <w:r w:rsidRPr="00A03457">
              <w:rPr>
                <w:color w:val="000000"/>
                <w:lang w:val="kk-KZ"/>
              </w:rPr>
              <w:t>2026-2027 жылдар</w:t>
            </w:r>
          </w:p>
        </w:tc>
        <w:tc>
          <w:tcPr>
            <w:tcW w:w="1276" w:type="dxa"/>
          </w:tcPr>
          <w:p w:rsidR="001E299A" w:rsidRPr="00A03457" w:rsidRDefault="001E299A" w:rsidP="00171B4C">
            <w:pPr>
              <w:contextualSpacing/>
              <w:jc w:val="both"/>
              <w:rPr>
                <w:bCs/>
                <w:color w:val="000000"/>
                <w:lang w:val="kk-KZ"/>
              </w:rPr>
            </w:pPr>
            <w:r w:rsidRPr="00A03457">
              <w:rPr>
                <w:bCs/>
                <w:color w:val="000000"/>
                <w:lang w:val="kk-KZ"/>
              </w:rPr>
              <w:t xml:space="preserve">17 </w:t>
            </w:r>
            <w:r w:rsidR="00DC7A32">
              <w:rPr>
                <w:bCs/>
                <w:color w:val="000000"/>
                <w:lang w:val="kk-KZ"/>
              </w:rPr>
              <w:t>облыс</w:t>
            </w:r>
            <w:r w:rsidRPr="00A03457">
              <w:rPr>
                <w:bCs/>
                <w:color w:val="000000"/>
                <w:lang w:val="kk-KZ"/>
              </w:rPr>
              <w:t xml:space="preserve"> және 3 республикалық маңызы бар қала</w:t>
            </w:r>
          </w:p>
          <w:p w:rsidR="001E299A" w:rsidRPr="00A03457" w:rsidRDefault="001E299A" w:rsidP="00171B4C">
            <w:pPr>
              <w:contextualSpacing/>
              <w:jc w:val="both"/>
              <w:rPr>
                <w:bCs/>
                <w:color w:val="000000"/>
                <w:lang w:val="kk-KZ"/>
              </w:rPr>
            </w:pPr>
          </w:p>
          <w:p w:rsidR="001E299A" w:rsidRPr="00A03457" w:rsidRDefault="001E299A" w:rsidP="00171B4C">
            <w:pPr>
              <w:contextualSpacing/>
              <w:jc w:val="both"/>
              <w:rPr>
                <w:color w:val="000000"/>
                <w:highlight w:val="yellow"/>
              </w:rPr>
            </w:pPr>
          </w:p>
          <w:p w:rsidR="001E299A" w:rsidRPr="00A03457" w:rsidRDefault="001E299A" w:rsidP="00171B4C">
            <w:pPr>
              <w:pStyle w:val="a5"/>
              <w:ind w:left="0"/>
              <w:jc w:val="both"/>
              <w:rPr>
                <w:bCs/>
                <w:color w:val="000000"/>
              </w:rPr>
            </w:pPr>
          </w:p>
        </w:tc>
        <w:tc>
          <w:tcPr>
            <w:tcW w:w="3400" w:type="dxa"/>
          </w:tcPr>
          <w:p w:rsidR="001E299A" w:rsidRPr="00A03457" w:rsidRDefault="001E299A" w:rsidP="00171B4C">
            <w:pPr>
              <w:contextualSpacing/>
              <w:jc w:val="both"/>
              <w:rPr>
                <w:b/>
                <w:lang w:val="kk-KZ"/>
              </w:rPr>
            </w:pPr>
            <w:r w:rsidRPr="00A03457">
              <w:rPr>
                <w:b/>
                <w:lang w:val="kk-KZ"/>
              </w:rPr>
              <w:t>Нысаналы индикатор:</w:t>
            </w:r>
          </w:p>
          <w:p w:rsidR="001E299A" w:rsidRPr="00A03457" w:rsidRDefault="001E299A" w:rsidP="00171B4C">
            <w:pPr>
              <w:contextualSpacing/>
              <w:jc w:val="both"/>
              <w:rPr>
                <w:highlight w:val="yellow"/>
                <w:lang w:val="kk-KZ"/>
              </w:rPr>
            </w:pPr>
            <w:r w:rsidRPr="00A03457">
              <w:rPr>
                <w:lang w:val="kk-KZ"/>
              </w:rPr>
              <w:t xml:space="preserve">1) Өңіраралық диалог алаңдарына тартылған жергілікті қоғамдық кеңестер мүшелерінің үлесі – қоғамдық кеңестер мүшелерінің жалпы санының кемінде 50%-ы  </w:t>
            </w:r>
            <w:r w:rsidRPr="00A03457">
              <w:rPr>
                <w:color w:val="000000"/>
                <w:lang w:val="kk-KZ"/>
              </w:rPr>
              <w:t>(жыл сайын)</w:t>
            </w:r>
            <w:r w:rsidR="0045080B">
              <w:rPr>
                <w:color w:val="000000"/>
                <w:lang w:val="kk-KZ"/>
              </w:rPr>
              <w:t>.</w:t>
            </w:r>
          </w:p>
          <w:p w:rsidR="001E299A" w:rsidRPr="00A03457" w:rsidRDefault="001E299A" w:rsidP="00171B4C">
            <w:pPr>
              <w:contextualSpacing/>
              <w:jc w:val="both"/>
              <w:rPr>
                <w:color w:val="000000"/>
                <w:lang w:val="kk-KZ"/>
              </w:rPr>
            </w:pPr>
            <w:r w:rsidRPr="00A03457">
              <w:rPr>
                <w:color w:val="000000"/>
                <w:lang w:val="kk-KZ"/>
              </w:rPr>
              <w:t xml:space="preserve">2) </w:t>
            </w:r>
            <w:hyperlink r:id="rId8" w:history="1">
              <w:r w:rsidRPr="00A03457">
                <w:rPr>
                  <w:rStyle w:val="a7"/>
                  <w:lang w:val="kk-KZ"/>
                </w:rPr>
                <w:t>www.kazkenes.kz</w:t>
              </w:r>
            </w:hyperlink>
            <w:r w:rsidRPr="00A03457">
              <w:rPr>
                <w:color w:val="000000"/>
                <w:lang w:val="kk-KZ"/>
              </w:rPr>
              <w:t xml:space="preserve">  интернет-порталын белсенді қолданушылар санының жыл сайынғы өсуі </w:t>
            </w:r>
            <w:r w:rsidR="0045080B" w:rsidRPr="00A03457">
              <w:rPr>
                <w:lang w:val="kk-KZ"/>
              </w:rPr>
              <w:t>–</w:t>
            </w:r>
            <w:r w:rsidRPr="00A03457">
              <w:rPr>
                <w:color w:val="000000"/>
                <w:lang w:val="kk-KZ"/>
              </w:rPr>
              <w:t xml:space="preserve"> кем дегенде 10%.</w:t>
            </w:r>
          </w:p>
          <w:p w:rsidR="001E299A" w:rsidRPr="00A03457" w:rsidRDefault="001E299A" w:rsidP="00171B4C">
            <w:pPr>
              <w:contextualSpacing/>
              <w:jc w:val="both"/>
              <w:rPr>
                <w:color w:val="000000"/>
                <w:lang w:val="kk-KZ"/>
              </w:rPr>
            </w:pPr>
            <w:r w:rsidRPr="00A03457">
              <w:rPr>
                <w:color w:val="000000"/>
                <w:lang w:val="kk-KZ"/>
              </w:rPr>
              <w:lastRenderedPageBreak/>
              <w:t xml:space="preserve">3) </w:t>
            </w:r>
            <w:r w:rsidR="001112DC" w:rsidRPr="001112DC">
              <w:rPr>
                <w:color w:val="000000"/>
                <w:lang w:val="kk-KZ"/>
              </w:rPr>
              <w:t>Шағын гранттар шеңберінде қоғамдық бақылауды жүргізуге тартылған қоғамдық кеңестерді қамту – кемінде 10 қоғамдық кеңес (жыл сайын)</w:t>
            </w:r>
            <w:r w:rsidR="001112DC">
              <w:rPr>
                <w:color w:val="000000"/>
                <w:lang w:val="kk-KZ"/>
              </w:rPr>
              <w:t>.</w:t>
            </w:r>
          </w:p>
          <w:p w:rsidR="001E299A" w:rsidRPr="00A03457" w:rsidRDefault="001E299A" w:rsidP="00171B4C">
            <w:pPr>
              <w:contextualSpacing/>
              <w:jc w:val="both"/>
              <w:rPr>
                <w:color w:val="000000"/>
                <w:lang w:val="kk-KZ"/>
              </w:rPr>
            </w:pPr>
            <w:r w:rsidRPr="00A03457">
              <w:rPr>
                <w:color w:val="000000"/>
                <w:lang w:val="kk-KZ"/>
              </w:rPr>
              <w:t>4) Республикалық деңгейдегі 1-ден кем емес іс-шара өткізу (жыл сайын)</w:t>
            </w:r>
            <w:r w:rsidR="0045080B">
              <w:rPr>
                <w:color w:val="000000"/>
                <w:lang w:val="kk-KZ"/>
              </w:rPr>
              <w:t>.</w:t>
            </w:r>
          </w:p>
          <w:p w:rsidR="001E299A" w:rsidRPr="00A03457" w:rsidRDefault="001E299A" w:rsidP="00171B4C">
            <w:pPr>
              <w:pStyle w:val="a5"/>
              <w:ind w:left="0"/>
              <w:jc w:val="both"/>
              <w:rPr>
                <w:rStyle w:val="ypks7kbdpwfgdykd3qb9"/>
                <w:b/>
                <w:lang w:val="kk-KZ"/>
              </w:rPr>
            </w:pPr>
          </w:p>
          <w:p w:rsidR="001E299A" w:rsidRPr="00A03457" w:rsidRDefault="001E299A" w:rsidP="00171B4C">
            <w:pPr>
              <w:pStyle w:val="a5"/>
              <w:ind w:left="0"/>
              <w:jc w:val="both"/>
              <w:rPr>
                <w:b/>
                <w:lang w:val="kk-KZ"/>
              </w:rPr>
            </w:pPr>
            <w:r w:rsidRPr="00A03457">
              <w:rPr>
                <w:rStyle w:val="ypks7kbdpwfgdykd3qb9"/>
                <w:b/>
                <w:lang w:val="kk-KZ"/>
              </w:rPr>
              <w:t>Күтілетін</w:t>
            </w:r>
            <w:r w:rsidRPr="00A03457">
              <w:rPr>
                <w:b/>
                <w:lang w:val="kk-KZ"/>
              </w:rPr>
              <w:t xml:space="preserve"> </w:t>
            </w:r>
            <w:r w:rsidRPr="00A03457">
              <w:rPr>
                <w:rStyle w:val="ypks7kbdpwfgdykd3qb9"/>
                <w:b/>
                <w:lang w:val="kk-KZ"/>
              </w:rPr>
              <w:t>нәтиже</w:t>
            </w:r>
            <w:r w:rsidRPr="00A03457">
              <w:rPr>
                <w:b/>
                <w:lang w:val="kk-KZ"/>
              </w:rPr>
              <w:t xml:space="preserve">: </w:t>
            </w:r>
          </w:p>
          <w:p w:rsidR="001E299A" w:rsidRPr="00A03457" w:rsidRDefault="001E299A" w:rsidP="00171B4C">
            <w:pPr>
              <w:pStyle w:val="a5"/>
              <w:ind w:left="0"/>
              <w:jc w:val="both"/>
              <w:rPr>
                <w:rStyle w:val="ypks7kbdpwfgdykd3qb9"/>
                <w:lang w:val="kk-KZ"/>
              </w:rPr>
            </w:pPr>
            <w:r w:rsidRPr="00A03457">
              <w:rPr>
                <w:lang w:val="kk-KZ"/>
              </w:rPr>
              <w:t xml:space="preserve">1) </w:t>
            </w:r>
            <w:r w:rsidRPr="00A03457">
              <w:rPr>
                <w:rStyle w:val="ypks7kbdpwfgdykd3qb9"/>
                <w:lang w:val="kk-KZ"/>
              </w:rPr>
              <w:t>Қоғамдық кеңестер үшін мына бағыттар бойынша кемінде 5 өңіраралық диалог алаңдарын ұйымдастыру және өткізу: қоғамдық бақылау тетіктерін жетілдіру, қоғамдық кеңестердің жұмысында цифрлық құралдарды пайдалану және т.б. – жыл сайын</w:t>
            </w:r>
            <w:r w:rsidR="0045080B">
              <w:rPr>
                <w:rStyle w:val="ypks7kbdpwfgdykd3qb9"/>
                <w:lang w:val="kk-KZ"/>
              </w:rPr>
              <w:t>.</w:t>
            </w:r>
          </w:p>
          <w:p w:rsidR="001E299A" w:rsidRPr="00A03457" w:rsidRDefault="001E299A" w:rsidP="00171B4C">
            <w:pPr>
              <w:pStyle w:val="a5"/>
              <w:numPr>
                <w:ilvl w:val="0"/>
                <w:numId w:val="7"/>
              </w:numPr>
              <w:ind w:left="33" w:firstLine="0"/>
              <w:jc w:val="both"/>
              <w:rPr>
                <w:lang w:val="kk-KZ"/>
              </w:rPr>
            </w:pPr>
            <w:r w:rsidRPr="00A03457">
              <w:rPr>
                <w:bCs/>
                <w:lang w:val="kk-KZ"/>
              </w:rPr>
              <w:t>Қоғамдық кеңестердің қызметі туралы кемінде 10 бейнеролик әзірлеу, оларды БАҚ және әлеуметтік желілерде одан әрі ілгерілету - жыл сайын</w:t>
            </w:r>
            <w:r w:rsidR="0045080B">
              <w:rPr>
                <w:bCs/>
                <w:lang w:val="kk-KZ"/>
              </w:rPr>
              <w:t>.</w:t>
            </w:r>
          </w:p>
          <w:p w:rsidR="001E299A" w:rsidRPr="00A03457" w:rsidRDefault="00392488" w:rsidP="00171B4C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lang w:val="kk-KZ"/>
              </w:rPr>
            </w:pPr>
            <w:hyperlink r:id="rId9" w:history="1">
              <w:r w:rsidR="001E299A" w:rsidRPr="00A03457">
                <w:rPr>
                  <w:rStyle w:val="a7"/>
                  <w:lang w:val="kk-KZ"/>
                </w:rPr>
                <w:t>www.kazkenes.kz</w:t>
              </w:r>
            </w:hyperlink>
            <w:r w:rsidR="001E299A" w:rsidRPr="00A03457">
              <w:rPr>
                <w:lang w:val="kk-KZ"/>
              </w:rPr>
              <w:t xml:space="preserve"> интернет-порталын мемлекеттік және орыс тілдерінде жүргізу және жаңғырту: кемінде 3 жаңа функция, қолжетімділікті баптау, материалдарды орналастыру, жұмысқа қабілеттілікті бақылау және пайдаланушыларға  </w:t>
            </w:r>
            <w:r w:rsidR="001E299A" w:rsidRPr="00A03457">
              <w:rPr>
                <w:lang w:val="kk-KZ"/>
              </w:rPr>
              <w:lastRenderedPageBreak/>
              <w:t>техникалық қолдау көрсету – жыл сайын</w:t>
            </w:r>
            <w:r w:rsidR="0045080B">
              <w:rPr>
                <w:lang w:val="kk-KZ"/>
              </w:rPr>
              <w:t>.</w:t>
            </w:r>
          </w:p>
          <w:p w:rsidR="001112DC" w:rsidRPr="001112DC" w:rsidRDefault="001112DC" w:rsidP="00171B4C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lang w:val="kk-KZ"/>
              </w:rPr>
            </w:pPr>
            <w:r w:rsidRPr="001112DC">
              <w:rPr>
                <w:lang w:val="kk-KZ"/>
              </w:rPr>
              <w:t>Қоғамдық бақылау жүргізуге 500 000 теңгеден кемінде 10 шағын грант беру – жыл сайын</w:t>
            </w:r>
            <w:r>
              <w:rPr>
                <w:lang w:val="kk-KZ"/>
              </w:rPr>
              <w:t>.</w:t>
            </w:r>
          </w:p>
          <w:p w:rsidR="001E299A" w:rsidRPr="00A03457" w:rsidRDefault="001E299A" w:rsidP="00171B4C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lang w:val="kk-KZ"/>
              </w:rPr>
            </w:pPr>
            <w:r w:rsidRPr="00A03457">
              <w:rPr>
                <w:lang w:val="kk-KZ"/>
              </w:rPr>
              <w:t>Қоғамдық кеңестердің қызметі бойынша үздік тәжірибелері жинағын дайындау – жыл сайын</w:t>
            </w:r>
            <w:r w:rsidR="0045080B">
              <w:rPr>
                <w:lang w:val="kk-KZ"/>
              </w:rPr>
              <w:t>.</w:t>
            </w:r>
          </w:p>
          <w:p w:rsidR="001E299A" w:rsidRPr="00A03457" w:rsidRDefault="001E299A" w:rsidP="00171B4C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lang w:val="kk-KZ"/>
              </w:rPr>
            </w:pPr>
            <w:r w:rsidRPr="00A03457">
              <w:rPr>
                <w:lang w:val="kk-KZ"/>
              </w:rPr>
              <w:t xml:space="preserve">Үздік практикалармен алмасу, өңіраралық өзара іс-қимылды және қоғамдық кеңестердің </w:t>
            </w:r>
            <w:r w:rsidR="0045080B">
              <w:rPr>
                <w:lang w:val="kk-KZ"/>
              </w:rPr>
              <w:t>.</w:t>
            </w:r>
            <w:r w:rsidRPr="00A03457">
              <w:rPr>
                <w:lang w:val="kk-KZ"/>
              </w:rPr>
              <w:t>институционалдық әлеуетін нығайту үшін қоғамдық кеңестер өкілдерінің қатысуымен республикалық іс-шараларды ұйымдастыру және өткізу:</w:t>
            </w:r>
          </w:p>
          <w:p w:rsidR="001E299A" w:rsidRPr="00A03457" w:rsidRDefault="001E299A" w:rsidP="00171B4C">
            <w:pPr>
              <w:pStyle w:val="a5"/>
              <w:ind w:left="0"/>
              <w:jc w:val="both"/>
              <w:rPr>
                <w:lang w:val="kk-KZ"/>
              </w:rPr>
            </w:pPr>
            <w:r w:rsidRPr="00A03457">
              <w:rPr>
                <w:lang w:val="kk-KZ"/>
              </w:rPr>
              <w:t xml:space="preserve">17 </w:t>
            </w:r>
            <w:r w:rsidR="00AB711B">
              <w:rPr>
                <w:lang w:val="kk-KZ"/>
              </w:rPr>
              <w:t>облыс</w:t>
            </w:r>
            <w:r w:rsidRPr="00A03457">
              <w:rPr>
                <w:lang w:val="kk-KZ"/>
              </w:rPr>
              <w:t xml:space="preserve"> және республикалық маңызы бар 3 қаланың қоғамдық кеңестерінің кемінде 70 мүшесінің қатысуымен қоғамдық кеңестер Форумы – 2026 жыл</w:t>
            </w:r>
            <w:r w:rsidR="0045080B">
              <w:rPr>
                <w:lang w:val="kk-KZ"/>
              </w:rPr>
              <w:t>.</w:t>
            </w:r>
          </w:p>
          <w:p w:rsidR="001E299A" w:rsidRDefault="001E299A" w:rsidP="00171B4C">
            <w:pPr>
              <w:pStyle w:val="a5"/>
              <w:ind w:left="0"/>
              <w:jc w:val="both"/>
              <w:rPr>
                <w:lang w:val="kk-KZ"/>
              </w:rPr>
            </w:pPr>
            <w:r w:rsidRPr="00A03457">
              <w:rPr>
                <w:lang w:val="kk-KZ"/>
              </w:rPr>
              <w:t xml:space="preserve">17 </w:t>
            </w:r>
            <w:r w:rsidR="00AB711B">
              <w:rPr>
                <w:lang w:val="kk-KZ"/>
              </w:rPr>
              <w:t>облыс</w:t>
            </w:r>
            <w:r w:rsidRPr="00A03457">
              <w:rPr>
                <w:lang w:val="kk-KZ"/>
              </w:rPr>
              <w:t xml:space="preserve"> және республикалық маңызы бар 3 қаланың қоғамдық кеңестерінің кемінде 200 мүшесінің қатысуымен Республикалық қоғамдық кеңестер Мәжілісі – 2027 жыл</w:t>
            </w:r>
            <w:r w:rsidR="0045080B">
              <w:rPr>
                <w:lang w:val="kk-KZ"/>
              </w:rPr>
              <w:t>.</w:t>
            </w:r>
          </w:p>
          <w:p w:rsidR="00171B4C" w:rsidRDefault="00171B4C" w:rsidP="00171B4C">
            <w:pPr>
              <w:pStyle w:val="a5"/>
              <w:ind w:left="0"/>
              <w:jc w:val="both"/>
              <w:rPr>
                <w:lang w:val="kk-KZ"/>
              </w:rPr>
            </w:pPr>
          </w:p>
          <w:p w:rsidR="00171B4C" w:rsidRDefault="00171B4C" w:rsidP="00171B4C">
            <w:pPr>
              <w:pStyle w:val="a5"/>
              <w:ind w:left="0"/>
              <w:jc w:val="both"/>
              <w:rPr>
                <w:lang w:val="kk-KZ"/>
              </w:rPr>
            </w:pPr>
          </w:p>
          <w:p w:rsidR="00171B4C" w:rsidRDefault="00171B4C" w:rsidP="00171B4C">
            <w:pPr>
              <w:pStyle w:val="a5"/>
              <w:ind w:left="0"/>
              <w:jc w:val="both"/>
              <w:rPr>
                <w:lang w:val="kk-KZ"/>
              </w:rPr>
            </w:pPr>
          </w:p>
          <w:p w:rsidR="00171B4C" w:rsidRDefault="00171B4C" w:rsidP="00171B4C">
            <w:pPr>
              <w:pStyle w:val="a5"/>
              <w:ind w:left="0"/>
              <w:jc w:val="both"/>
              <w:rPr>
                <w:lang w:val="kk-KZ"/>
              </w:rPr>
            </w:pPr>
          </w:p>
          <w:p w:rsidR="00171B4C" w:rsidRPr="00A03457" w:rsidRDefault="00171B4C" w:rsidP="00171B4C">
            <w:pPr>
              <w:pStyle w:val="a5"/>
              <w:ind w:left="0"/>
              <w:jc w:val="both"/>
              <w:rPr>
                <w:lang w:val="kk-KZ"/>
              </w:rPr>
            </w:pPr>
            <w:bookmarkStart w:id="0" w:name="_GoBack"/>
            <w:bookmarkEnd w:id="0"/>
          </w:p>
        </w:tc>
        <w:tc>
          <w:tcPr>
            <w:tcW w:w="1561" w:type="dxa"/>
          </w:tcPr>
          <w:p w:rsidR="001E299A" w:rsidRPr="008A3C4B" w:rsidRDefault="001E299A" w:rsidP="00171B4C">
            <w:pPr>
              <w:spacing w:before="100" w:beforeAutospacing="1" w:after="100" w:afterAutospacing="1"/>
              <w:rPr>
                <w:b/>
                <w:lang w:val="kk-KZ"/>
              </w:rPr>
            </w:pPr>
          </w:p>
        </w:tc>
      </w:tr>
      <w:tr w:rsidR="00521189" w:rsidRPr="00521189" w:rsidTr="00171B4C">
        <w:trPr>
          <w:trHeight w:val="448"/>
        </w:trPr>
        <w:tc>
          <w:tcPr>
            <w:tcW w:w="704" w:type="dxa"/>
            <w:shd w:val="clear" w:color="auto" w:fill="BFBFBF" w:themeFill="background1" w:themeFillShade="BF"/>
          </w:tcPr>
          <w:p w:rsidR="00521189" w:rsidRPr="008A3C4B" w:rsidRDefault="00521189" w:rsidP="00171B4C">
            <w:pPr>
              <w:pStyle w:val="a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</w:p>
        </w:tc>
        <w:tc>
          <w:tcPr>
            <w:tcW w:w="15167" w:type="dxa"/>
            <w:gridSpan w:val="8"/>
            <w:shd w:val="clear" w:color="auto" w:fill="BFBFBF" w:themeFill="background1" w:themeFillShade="BF"/>
          </w:tcPr>
          <w:p w:rsidR="00521189" w:rsidRPr="008A3C4B" w:rsidRDefault="00521189" w:rsidP="00171B4C">
            <w:pPr>
              <w:spacing w:before="100" w:beforeAutospacing="1" w:after="100" w:afterAutospacing="1"/>
              <w:jc w:val="center"/>
              <w:rPr>
                <w:b/>
                <w:lang w:val="kk-KZ"/>
              </w:rPr>
            </w:pPr>
            <w:r w:rsidRPr="00F5354B">
              <w:rPr>
                <w:b/>
                <w:lang w:val="kk-KZ"/>
              </w:rPr>
              <w:t>Этносаралық қатынастарды дамыту комитеті</w:t>
            </w:r>
          </w:p>
        </w:tc>
      </w:tr>
      <w:tr w:rsidR="00200EA6" w:rsidRPr="00171B4C" w:rsidTr="00171B4C">
        <w:trPr>
          <w:trHeight w:val="2769"/>
        </w:trPr>
        <w:tc>
          <w:tcPr>
            <w:tcW w:w="704" w:type="dxa"/>
          </w:tcPr>
          <w:p w:rsidR="00200EA6" w:rsidRPr="008A3C4B" w:rsidRDefault="00200EA6" w:rsidP="00171B4C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</w:p>
        </w:tc>
        <w:tc>
          <w:tcPr>
            <w:tcW w:w="1559" w:type="dxa"/>
          </w:tcPr>
          <w:p w:rsidR="00200EA6" w:rsidRPr="00997E48" w:rsidRDefault="00200EA6" w:rsidP="00171B4C">
            <w:pPr>
              <w:jc w:val="both"/>
              <w:rPr>
                <w:lang w:val="kk-KZ"/>
              </w:rPr>
            </w:pPr>
            <w:r w:rsidRPr="00C12642">
              <w:rPr>
                <w:lang w:val="kk-KZ"/>
              </w:rPr>
              <w:t xml:space="preserve">Қоғамдық келісім мен </w:t>
            </w:r>
            <w:r w:rsidRPr="00997E48">
              <w:rPr>
                <w:lang w:val="kk-KZ"/>
              </w:rPr>
              <w:t>жалпыұлттық</w:t>
            </w:r>
            <w:r w:rsidRPr="00C12642">
              <w:rPr>
                <w:lang w:val="kk-KZ"/>
              </w:rPr>
              <w:t xml:space="preserve"> бірлікті нығайту</w:t>
            </w:r>
          </w:p>
          <w:p w:rsidR="00200EA6" w:rsidRPr="00997E48" w:rsidRDefault="00200EA6" w:rsidP="00171B4C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276" w:type="dxa"/>
          </w:tcPr>
          <w:p w:rsidR="000C680F" w:rsidRDefault="00200EA6" w:rsidP="00171B4C">
            <w:pPr>
              <w:jc w:val="both"/>
              <w:rPr>
                <w:lang w:val="kk-KZ"/>
              </w:rPr>
            </w:pPr>
            <w:r w:rsidRPr="00997E48">
              <w:rPr>
                <w:lang w:val="kk-KZ"/>
              </w:rPr>
              <w:t xml:space="preserve">Халықтың құқықтық сауаттылығын арттыру, сондай-ақ жалпыұлттық бірлікті нығайту мақсатында этносаралық қатынастар саласындағы ақпараттық-түсіндіру </w:t>
            </w:r>
          </w:p>
          <w:p w:rsidR="000C680F" w:rsidRDefault="000C680F" w:rsidP="00171B4C">
            <w:pPr>
              <w:jc w:val="both"/>
              <w:rPr>
                <w:lang w:val="kk-KZ"/>
              </w:rPr>
            </w:pPr>
          </w:p>
          <w:p w:rsidR="00200EA6" w:rsidRPr="00997E48" w:rsidRDefault="00686BEA" w:rsidP="00171B4C">
            <w:pPr>
              <w:jc w:val="both"/>
              <w:rPr>
                <w:bCs/>
                <w:highlight w:val="yellow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200EA6" w:rsidRPr="00997E48">
              <w:rPr>
                <w:lang w:val="kk-KZ"/>
              </w:rPr>
              <w:t>топтарының жұмысын жетілдіру</w:t>
            </w:r>
          </w:p>
        </w:tc>
        <w:tc>
          <w:tcPr>
            <w:tcW w:w="3827" w:type="dxa"/>
          </w:tcPr>
          <w:p w:rsidR="00200EA6" w:rsidRPr="00997E48" w:rsidRDefault="00CC7473" w:rsidP="00171B4C">
            <w:pPr>
              <w:jc w:val="both"/>
              <w:rPr>
                <w:highlight w:val="yellow"/>
                <w:lang w:val="kk-KZ"/>
              </w:rPr>
            </w:pPr>
            <w:r w:rsidRPr="00484637">
              <w:rPr>
                <w:bCs/>
                <w:lang w:val="kk-KZ"/>
              </w:rPr>
              <w:t>Әлеуметтік желілерде этносаралық қатынастарға теріс әсер етуі мүмкін жарияланымдардың таралуына байланысты, халықтың құқықтық және медиа сауаттылығын арттыру, сондай-ақ халықты этносаралық қатынастар саласындағы мемлекеттік саясаттың негізгі бағыттары туралы хабардар ету мақсатында ақпараттық және түсіндіру іс-шараларын жүргізуді күшейту қажет</w:t>
            </w:r>
            <w:r>
              <w:rPr>
                <w:lang w:val="kk-KZ"/>
              </w:rPr>
              <w:t xml:space="preserve">.                                        </w:t>
            </w:r>
          </w:p>
        </w:tc>
        <w:tc>
          <w:tcPr>
            <w:tcW w:w="1417" w:type="dxa"/>
          </w:tcPr>
          <w:p w:rsidR="00200EA6" w:rsidRPr="008A3C4B" w:rsidRDefault="00200EA6" w:rsidP="00171B4C">
            <w:pPr>
              <w:pStyle w:val="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8A3C4B">
              <w:rPr>
                <w:b w:val="0"/>
                <w:sz w:val="24"/>
                <w:szCs w:val="24"/>
                <w:lang w:val="kk-KZ"/>
              </w:rPr>
              <w:t>202</w:t>
            </w:r>
            <w:r>
              <w:rPr>
                <w:b w:val="0"/>
                <w:sz w:val="24"/>
                <w:szCs w:val="24"/>
                <w:lang w:val="kk-KZ"/>
              </w:rPr>
              <w:t>6</w:t>
            </w:r>
            <w:r w:rsidRPr="008A3C4B">
              <w:rPr>
                <w:b w:val="0"/>
                <w:sz w:val="24"/>
                <w:szCs w:val="24"/>
                <w:lang w:val="kk-KZ"/>
              </w:rPr>
              <w:t xml:space="preserve"> жыл</w:t>
            </w:r>
            <w:r>
              <w:rPr>
                <w:b w:val="0"/>
                <w:sz w:val="24"/>
                <w:szCs w:val="24"/>
                <w:lang w:val="kk-KZ"/>
              </w:rPr>
              <w:t xml:space="preserve"> – </w:t>
            </w:r>
            <w:r w:rsidRPr="008A3C4B">
              <w:rPr>
                <w:b w:val="0"/>
                <w:sz w:val="24"/>
                <w:szCs w:val="24"/>
                <w:lang w:val="kk-KZ"/>
              </w:rPr>
              <w:t>30</w:t>
            </w:r>
            <w:r>
              <w:rPr>
                <w:b w:val="0"/>
                <w:sz w:val="24"/>
                <w:szCs w:val="24"/>
                <w:lang w:val="kk-KZ"/>
              </w:rPr>
              <w:t> 02</w:t>
            </w:r>
            <w:r w:rsidRPr="008A3C4B">
              <w:rPr>
                <w:b w:val="0"/>
                <w:sz w:val="24"/>
                <w:szCs w:val="24"/>
                <w:lang w:val="kk-KZ"/>
              </w:rPr>
              <w:t>6 мың тг</w:t>
            </w:r>
            <w:r>
              <w:rPr>
                <w:b w:val="0"/>
                <w:sz w:val="24"/>
                <w:szCs w:val="24"/>
                <w:lang w:val="kk-KZ"/>
              </w:rPr>
              <w:t>.</w:t>
            </w:r>
          </w:p>
          <w:p w:rsidR="00200EA6" w:rsidRPr="008A3C4B" w:rsidRDefault="00200EA6" w:rsidP="00171B4C">
            <w:pPr>
              <w:pStyle w:val="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kk-KZ"/>
              </w:rPr>
            </w:pPr>
          </w:p>
          <w:p w:rsidR="00200EA6" w:rsidRPr="008A3C4B" w:rsidRDefault="00200EA6" w:rsidP="00171B4C">
            <w:pPr>
              <w:pStyle w:val="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8A3C4B">
              <w:rPr>
                <w:b w:val="0"/>
                <w:sz w:val="24"/>
                <w:szCs w:val="24"/>
                <w:lang w:val="kk-KZ"/>
              </w:rPr>
              <w:t>202</w:t>
            </w:r>
            <w:r>
              <w:rPr>
                <w:b w:val="0"/>
                <w:sz w:val="24"/>
                <w:szCs w:val="24"/>
                <w:lang w:val="kk-KZ"/>
              </w:rPr>
              <w:t>7</w:t>
            </w:r>
            <w:r w:rsidRPr="008A3C4B">
              <w:rPr>
                <w:b w:val="0"/>
                <w:sz w:val="24"/>
                <w:szCs w:val="24"/>
                <w:lang w:val="kk-KZ"/>
              </w:rPr>
              <w:t xml:space="preserve"> жыл</w:t>
            </w:r>
            <w:r>
              <w:rPr>
                <w:b w:val="0"/>
                <w:sz w:val="24"/>
                <w:szCs w:val="24"/>
                <w:lang w:val="kk-KZ"/>
              </w:rPr>
              <w:t xml:space="preserve"> – </w:t>
            </w:r>
            <w:r w:rsidRPr="008A3C4B">
              <w:rPr>
                <w:b w:val="0"/>
                <w:sz w:val="24"/>
                <w:szCs w:val="24"/>
                <w:lang w:val="kk-KZ"/>
              </w:rPr>
              <w:t>30</w:t>
            </w:r>
            <w:r>
              <w:rPr>
                <w:b w:val="0"/>
                <w:sz w:val="24"/>
                <w:szCs w:val="24"/>
                <w:lang w:val="kk-KZ"/>
              </w:rPr>
              <w:t> 02</w:t>
            </w:r>
            <w:r w:rsidRPr="008A3C4B">
              <w:rPr>
                <w:b w:val="0"/>
                <w:sz w:val="24"/>
                <w:szCs w:val="24"/>
                <w:lang w:val="kk-KZ"/>
              </w:rPr>
              <w:t>6 мың тг</w:t>
            </w:r>
            <w:r>
              <w:rPr>
                <w:b w:val="0"/>
                <w:sz w:val="24"/>
                <w:szCs w:val="24"/>
                <w:lang w:val="kk-KZ"/>
              </w:rPr>
              <w:t>.</w:t>
            </w:r>
          </w:p>
          <w:p w:rsidR="00200EA6" w:rsidRPr="00F77338" w:rsidRDefault="00200EA6" w:rsidP="00171B4C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851" w:type="dxa"/>
          </w:tcPr>
          <w:p w:rsidR="00200EA6" w:rsidRDefault="00200EA6" w:rsidP="00171B4C">
            <w:pPr>
              <w:pStyle w:val="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8A3C4B">
              <w:rPr>
                <w:b w:val="0"/>
                <w:sz w:val="24"/>
                <w:szCs w:val="24"/>
                <w:lang w:val="kk-KZ"/>
              </w:rPr>
              <w:t>1 орта мерзімді</w:t>
            </w:r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Pr="008A3C4B">
              <w:rPr>
                <w:b w:val="0"/>
                <w:sz w:val="24"/>
                <w:szCs w:val="24"/>
                <w:lang w:val="kk-KZ"/>
              </w:rPr>
              <w:t>грант</w:t>
            </w:r>
          </w:p>
          <w:p w:rsidR="00200EA6" w:rsidRPr="008A3C4B" w:rsidRDefault="00200EA6" w:rsidP="00171B4C">
            <w:pPr>
              <w:pStyle w:val="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kk-KZ"/>
              </w:rPr>
            </w:pPr>
          </w:p>
          <w:p w:rsidR="00200EA6" w:rsidRPr="00F77338" w:rsidRDefault="00200EA6" w:rsidP="00171B4C">
            <w:pPr>
              <w:jc w:val="both"/>
              <w:rPr>
                <w:color w:val="000000"/>
                <w:lang w:val="kk-KZ"/>
              </w:rPr>
            </w:pPr>
            <w:r w:rsidRPr="00F77338">
              <w:rPr>
                <w:color w:val="000000"/>
                <w:lang w:val="kk-KZ"/>
              </w:rPr>
              <w:t xml:space="preserve">2026-2027 </w:t>
            </w:r>
            <w:r>
              <w:rPr>
                <w:color w:val="000000"/>
                <w:lang w:val="kk-KZ"/>
              </w:rPr>
              <w:t>жылдар</w:t>
            </w:r>
          </w:p>
        </w:tc>
        <w:tc>
          <w:tcPr>
            <w:tcW w:w="1276" w:type="dxa"/>
          </w:tcPr>
          <w:p w:rsidR="00200EA6" w:rsidRPr="00F4522E" w:rsidRDefault="00200EA6" w:rsidP="00171B4C">
            <w:pPr>
              <w:jc w:val="both"/>
              <w:rPr>
                <w:lang w:val="kk-KZ"/>
              </w:rPr>
            </w:pPr>
            <w:r w:rsidRPr="00F4522E">
              <w:rPr>
                <w:lang w:val="kk-KZ"/>
              </w:rPr>
              <w:t>2026 жылы – Шығыс Қазақстан облысы, Павлодар облысы, Қарағанды облысы, Қостанай облысы, Солтүстік Қазақстан облысы, Астана қаласы, Шымкент қаласы, Абай облысы, Жетісу облысы, Ұлытау облысы.</w:t>
            </w:r>
          </w:p>
          <w:p w:rsidR="00200EA6" w:rsidRPr="00F4522E" w:rsidRDefault="00200EA6" w:rsidP="00171B4C">
            <w:pPr>
              <w:jc w:val="both"/>
              <w:rPr>
                <w:lang w:val="kk-KZ"/>
              </w:rPr>
            </w:pPr>
          </w:p>
          <w:p w:rsidR="00200EA6" w:rsidRPr="00872569" w:rsidRDefault="00200EA6" w:rsidP="00171B4C">
            <w:pPr>
              <w:jc w:val="both"/>
              <w:rPr>
                <w:lang w:val="kk-KZ"/>
              </w:rPr>
            </w:pPr>
            <w:r w:rsidRPr="00F4522E">
              <w:rPr>
                <w:lang w:val="kk-KZ"/>
              </w:rPr>
              <w:t xml:space="preserve">2027 жылы – Батыс Қазақстан облысы, Жамбыл облысы, Алматы облысы, Түркістан облысы, </w:t>
            </w:r>
            <w:r w:rsidRPr="00F4522E">
              <w:rPr>
                <w:lang w:val="kk-KZ"/>
              </w:rPr>
              <w:lastRenderedPageBreak/>
              <w:t>Алматы қаласы, Ақмола облысы, Ақтөбе облысы, Атырау облысы, Қызылорда облысы, Маңғыстау облысы.</w:t>
            </w:r>
          </w:p>
        </w:tc>
        <w:tc>
          <w:tcPr>
            <w:tcW w:w="3400" w:type="dxa"/>
          </w:tcPr>
          <w:p w:rsidR="00200EA6" w:rsidRPr="00AA6DAF" w:rsidRDefault="00200EA6" w:rsidP="00171B4C">
            <w:pPr>
              <w:jc w:val="both"/>
              <w:rPr>
                <w:b/>
                <w:bCs/>
                <w:color w:val="000000"/>
                <w:lang w:val="kk-KZ"/>
              </w:rPr>
            </w:pPr>
            <w:r w:rsidRPr="00AA6DAF">
              <w:rPr>
                <w:b/>
                <w:bCs/>
                <w:color w:val="000000"/>
                <w:lang w:val="kk-KZ"/>
              </w:rPr>
              <w:lastRenderedPageBreak/>
              <w:t>Нысаналы индикаторлар:</w:t>
            </w:r>
          </w:p>
          <w:p w:rsidR="00200EA6" w:rsidRPr="00AA6DAF" w:rsidRDefault="00200EA6" w:rsidP="00171B4C">
            <w:pPr>
              <w:jc w:val="both"/>
              <w:rPr>
                <w:lang w:val="kk-KZ"/>
              </w:rPr>
            </w:pPr>
          </w:p>
          <w:p w:rsidR="00200EA6" w:rsidRPr="00AA6DAF" w:rsidRDefault="00200EA6" w:rsidP="00171B4C">
            <w:pPr>
              <w:tabs>
                <w:tab w:val="left" w:pos="5"/>
              </w:tabs>
              <w:jc w:val="both"/>
              <w:rPr>
                <w:lang w:val="kk-KZ"/>
              </w:rPr>
            </w:pPr>
            <w:r w:rsidRPr="00AA6DAF">
              <w:rPr>
                <w:lang w:val="kk-KZ"/>
              </w:rPr>
              <w:t xml:space="preserve">1. Оқыту қорытындылары бойынша біліктілігін арттырғанын көрсеткен ақпараттық-түсіндіру топтары мүшелерінің үлесі – </w:t>
            </w:r>
            <w:r w:rsidRPr="00872569">
              <w:rPr>
                <w:iCs/>
                <w:szCs w:val="22"/>
                <w:lang w:val="kk-KZ"/>
              </w:rPr>
              <w:t>өңірдегі ақпараттық-түсіндіру топтары мүшелерінің жалпы санынан</w:t>
            </w:r>
            <w:r w:rsidRPr="00872569">
              <w:rPr>
                <w:sz w:val="28"/>
                <w:lang w:val="kk-KZ"/>
              </w:rPr>
              <w:t xml:space="preserve"> </w:t>
            </w:r>
            <w:r w:rsidRPr="00AA6DAF">
              <w:rPr>
                <w:lang w:val="kk-KZ"/>
              </w:rPr>
              <w:t>жыл сайын кемінде 50%</w:t>
            </w:r>
          </w:p>
          <w:p w:rsidR="00200EA6" w:rsidRPr="00AA6DAF" w:rsidRDefault="00200EA6" w:rsidP="00171B4C">
            <w:pPr>
              <w:tabs>
                <w:tab w:val="left" w:pos="5"/>
              </w:tabs>
              <w:jc w:val="both"/>
              <w:rPr>
                <w:i/>
                <w:iCs/>
                <w:sz w:val="22"/>
                <w:szCs w:val="22"/>
                <w:lang w:val="kk-KZ"/>
              </w:rPr>
            </w:pPr>
            <w:r w:rsidRPr="00AA6DAF">
              <w:rPr>
                <w:i/>
                <w:iCs/>
                <w:sz w:val="22"/>
                <w:szCs w:val="22"/>
                <w:lang w:val="kk-KZ"/>
              </w:rPr>
              <w:t>(сауалнамалар мен анкета нәтижелері бойынша).</w:t>
            </w:r>
          </w:p>
          <w:p w:rsidR="00200EA6" w:rsidRPr="00AA6DAF" w:rsidRDefault="00200EA6" w:rsidP="00171B4C">
            <w:pPr>
              <w:tabs>
                <w:tab w:val="left" w:pos="5"/>
              </w:tabs>
              <w:jc w:val="both"/>
              <w:rPr>
                <w:lang w:val="kk-KZ"/>
              </w:rPr>
            </w:pPr>
            <w:r w:rsidRPr="00AA6DAF">
              <w:rPr>
                <w:lang w:val="kk-KZ"/>
              </w:rPr>
              <w:t xml:space="preserve"> 2. Құқықтық және медиасауаттылық деңгейінің артқанын, сондай-ақ патриоттық сананың қалыптасқанын көрсеткен жобаға қатысушылардың үлесі – </w:t>
            </w:r>
            <w:r w:rsidRPr="00872569">
              <w:rPr>
                <w:iCs/>
                <w:sz w:val="22"/>
                <w:szCs w:val="22"/>
                <w:lang w:val="kk-KZ"/>
              </w:rPr>
              <w:t>іс-шараларға қатысушылардың жалпы санынан</w:t>
            </w:r>
            <w:r w:rsidRPr="00872569">
              <w:rPr>
                <w:lang w:val="kk-KZ"/>
              </w:rPr>
              <w:t xml:space="preserve"> </w:t>
            </w:r>
            <w:r w:rsidRPr="00AA6DAF">
              <w:rPr>
                <w:lang w:val="kk-KZ"/>
              </w:rPr>
              <w:t>жыл сайын кемінде 70%</w:t>
            </w:r>
            <w:r>
              <w:rPr>
                <w:lang w:val="kk-KZ"/>
              </w:rPr>
              <w:t xml:space="preserve">. </w:t>
            </w:r>
          </w:p>
          <w:p w:rsidR="00200EA6" w:rsidRPr="00AA6DAF" w:rsidRDefault="00200EA6" w:rsidP="00171B4C">
            <w:pPr>
              <w:tabs>
                <w:tab w:val="left" w:pos="5"/>
              </w:tabs>
              <w:jc w:val="both"/>
              <w:rPr>
                <w:i/>
                <w:iCs/>
                <w:sz w:val="22"/>
                <w:szCs w:val="22"/>
                <w:lang w:val="kk-KZ"/>
              </w:rPr>
            </w:pPr>
            <w:r w:rsidRPr="00AA6DAF">
              <w:rPr>
                <w:i/>
                <w:iCs/>
                <w:sz w:val="22"/>
                <w:szCs w:val="22"/>
                <w:lang w:val="kk-KZ"/>
              </w:rPr>
              <w:t>(сауалнамала</w:t>
            </w:r>
            <w:r>
              <w:rPr>
                <w:i/>
                <w:iCs/>
                <w:sz w:val="22"/>
                <w:szCs w:val="22"/>
                <w:lang w:val="kk-KZ"/>
              </w:rPr>
              <w:t>р мен анкета нәтижелері бойынша</w:t>
            </w:r>
            <w:r w:rsidRPr="00AA6DAF">
              <w:rPr>
                <w:i/>
                <w:iCs/>
                <w:sz w:val="22"/>
                <w:szCs w:val="22"/>
                <w:lang w:val="kk-KZ"/>
              </w:rPr>
              <w:t>).</w:t>
            </w:r>
          </w:p>
          <w:p w:rsidR="00200EA6" w:rsidRPr="00AA6DAF" w:rsidRDefault="00200EA6" w:rsidP="00171B4C">
            <w:pPr>
              <w:tabs>
                <w:tab w:val="left" w:pos="5"/>
              </w:tabs>
              <w:jc w:val="both"/>
              <w:rPr>
                <w:lang w:val="kk-KZ"/>
              </w:rPr>
            </w:pPr>
            <w:r w:rsidRPr="00AA6DAF">
              <w:rPr>
                <w:lang w:val="kk-KZ"/>
              </w:rPr>
              <w:t xml:space="preserve"> 3. Ақпараттық-түсіндіру жұмыстары аясында ауылдық және шалғай елді мекендерді қамту үлесі – </w:t>
            </w:r>
            <w:r w:rsidRPr="00E70788">
              <w:rPr>
                <w:b/>
                <w:lang w:val="kk-KZ"/>
              </w:rPr>
              <w:t>жыл сайын жалпы қамтудың кемінде 30%.</w:t>
            </w:r>
          </w:p>
          <w:p w:rsidR="00200EA6" w:rsidRPr="00AA6DAF" w:rsidRDefault="00200EA6" w:rsidP="00171B4C">
            <w:pPr>
              <w:tabs>
                <w:tab w:val="left" w:pos="5"/>
              </w:tabs>
              <w:jc w:val="both"/>
              <w:rPr>
                <w:lang w:val="kk-KZ"/>
              </w:rPr>
            </w:pPr>
          </w:p>
          <w:p w:rsidR="00200EA6" w:rsidRPr="00AA6DAF" w:rsidRDefault="00200EA6" w:rsidP="00171B4C">
            <w:pPr>
              <w:tabs>
                <w:tab w:val="left" w:pos="5"/>
              </w:tabs>
              <w:jc w:val="both"/>
              <w:rPr>
                <w:b/>
                <w:bCs/>
                <w:lang w:val="kk-KZ"/>
              </w:rPr>
            </w:pPr>
            <w:r w:rsidRPr="00AA6DAF">
              <w:rPr>
                <w:b/>
                <w:bCs/>
                <w:lang w:val="kk-KZ"/>
              </w:rPr>
              <w:t>Күтілетін нәтижелер:</w:t>
            </w:r>
          </w:p>
          <w:p w:rsidR="00200EA6" w:rsidRPr="00AA6DAF" w:rsidRDefault="00200EA6" w:rsidP="00171B4C">
            <w:pPr>
              <w:tabs>
                <w:tab w:val="left" w:pos="5"/>
              </w:tabs>
              <w:jc w:val="both"/>
              <w:rPr>
                <w:lang w:val="kk-KZ"/>
              </w:rPr>
            </w:pPr>
            <w:r w:rsidRPr="00AA6DAF">
              <w:rPr>
                <w:lang w:val="kk-KZ"/>
              </w:rPr>
              <w:t xml:space="preserve"> 1. </w:t>
            </w:r>
            <w:r w:rsidR="00A24772">
              <w:rPr>
                <w:lang w:val="kk-KZ"/>
              </w:rPr>
              <w:t>Е</w:t>
            </w:r>
            <w:r w:rsidR="00A24772" w:rsidRPr="00A24772">
              <w:rPr>
                <w:lang w:val="kk-KZ"/>
              </w:rPr>
              <w:t>л</w:t>
            </w:r>
            <w:r w:rsidR="00A24772">
              <w:rPr>
                <w:lang w:val="kk-KZ"/>
              </w:rPr>
              <w:t>іміз</w:t>
            </w:r>
            <w:r w:rsidR="00A24772" w:rsidRPr="00A24772">
              <w:rPr>
                <w:lang w:val="kk-KZ"/>
              </w:rPr>
              <w:t xml:space="preserve">дегі қоғамдық келісімді сақтау мен жалпыұлттық бірлікті нығайтуға, халықтың құқықтық және </w:t>
            </w:r>
            <w:r w:rsidR="00A24772" w:rsidRPr="00A24772">
              <w:rPr>
                <w:lang w:val="kk-KZ"/>
              </w:rPr>
              <w:lastRenderedPageBreak/>
              <w:t xml:space="preserve">медиасауаттылығын арттыруға </w:t>
            </w:r>
            <w:r w:rsidR="00A24772" w:rsidRPr="00A24772">
              <w:rPr>
                <w:i/>
                <w:iCs/>
                <w:lang w:val="kk-KZ"/>
              </w:rPr>
              <w:t>(оның ішінде ҚР Қылмыстық кодексінің 174 және 180-баптарын түсіндіру бойынша)</w:t>
            </w:r>
            <w:r w:rsidR="00A24772" w:rsidRPr="00A24772">
              <w:rPr>
                <w:lang w:val="kk-KZ"/>
              </w:rPr>
              <w:t xml:space="preserve"> бағытталған және Қазақстан Республикасының қолданыстағы заңнамасының талаптарын міндетті түрде сақтай отырып, уәкілетті органмен келісілген</w:t>
            </w:r>
            <w:r w:rsidR="00A24772">
              <w:rPr>
                <w:lang w:val="kk-KZ"/>
              </w:rPr>
              <w:t xml:space="preserve"> қ</w:t>
            </w:r>
            <w:r w:rsidR="00A24772" w:rsidRPr="00AA6DAF">
              <w:rPr>
                <w:lang w:val="kk-KZ"/>
              </w:rPr>
              <w:t xml:space="preserve">азақстандықтар </w:t>
            </w:r>
            <w:r w:rsidRPr="00AA6DAF">
              <w:rPr>
                <w:lang w:val="kk-KZ"/>
              </w:rPr>
              <w:t xml:space="preserve">арасында танымал, кемінде 100 мың қазақстандық жазылушысы бар онлайн-платформалардың аккаунттарында ай сайын кемінде 3 материал </w:t>
            </w:r>
            <w:r w:rsidRPr="00AA6DAF">
              <w:rPr>
                <w:i/>
                <w:iCs/>
                <w:sz w:val="22"/>
                <w:szCs w:val="22"/>
                <w:lang w:val="kk-KZ"/>
              </w:rPr>
              <w:t>(</w:t>
            </w:r>
            <w:r>
              <w:rPr>
                <w:i/>
                <w:iCs/>
                <w:sz w:val="22"/>
                <w:szCs w:val="22"/>
                <w:lang w:val="kk-KZ"/>
              </w:rPr>
              <w:t xml:space="preserve">қазақ және орыс тілдерінде </w:t>
            </w:r>
            <w:r w:rsidRPr="00AA6DAF">
              <w:rPr>
                <w:i/>
                <w:iCs/>
                <w:sz w:val="22"/>
                <w:szCs w:val="22"/>
                <w:lang w:val="kk-KZ"/>
              </w:rPr>
              <w:t>инфографика, бейнеролик және басқа форматтағы контент)</w:t>
            </w:r>
            <w:r w:rsidRPr="00AA6DAF">
              <w:rPr>
                <w:lang w:val="kk-KZ"/>
              </w:rPr>
              <w:t xml:space="preserve"> орналастыру.</w:t>
            </w:r>
          </w:p>
          <w:p w:rsidR="00200EA6" w:rsidRPr="00AA6DAF" w:rsidRDefault="00200EA6" w:rsidP="00171B4C">
            <w:pPr>
              <w:tabs>
                <w:tab w:val="left" w:pos="5"/>
              </w:tabs>
              <w:jc w:val="both"/>
              <w:rPr>
                <w:lang w:val="kk-KZ"/>
              </w:rPr>
            </w:pPr>
            <w:r w:rsidRPr="00AA6DAF">
              <w:rPr>
                <w:lang w:val="kk-KZ"/>
              </w:rPr>
              <w:t>.</w:t>
            </w:r>
          </w:p>
          <w:p w:rsidR="00200EA6" w:rsidRPr="00AA6DAF" w:rsidRDefault="00200EA6" w:rsidP="00171B4C">
            <w:pPr>
              <w:tabs>
                <w:tab w:val="left" w:pos="5"/>
              </w:tabs>
              <w:jc w:val="both"/>
              <w:rPr>
                <w:lang w:val="kk-KZ"/>
              </w:rPr>
            </w:pPr>
            <w:r w:rsidRPr="00AA6DAF">
              <w:rPr>
                <w:lang w:val="kk-KZ"/>
              </w:rPr>
              <w:t xml:space="preserve"> 2. Халықтың құқықтық және медиасауаттылығын арттыруға, сондай-ақ этносаралық қатынастар саласындағы мемлекеттік саясаттың басым бағыттары туралы ақпараттандыруға бағытталған ақпараттық-түсіндіру іс-шараларын ұйымдастыру.</w:t>
            </w:r>
          </w:p>
          <w:p w:rsidR="00200EA6" w:rsidRPr="00AA6DAF" w:rsidRDefault="00200EA6" w:rsidP="00171B4C">
            <w:pPr>
              <w:tabs>
                <w:tab w:val="left" w:pos="5"/>
              </w:tabs>
              <w:jc w:val="both"/>
              <w:rPr>
                <w:lang w:val="kk-KZ"/>
              </w:rPr>
            </w:pPr>
            <w:r w:rsidRPr="00AA6DAF">
              <w:rPr>
                <w:lang w:val="kk-KZ"/>
              </w:rPr>
              <w:t xml:space="preserve">Іс-шаралар офлайн форматта еңбек ұжымдарында </w:t>
            </w:r>
            <w:r w:rsidRPr="00AA6DAF">
              <w:rPr>
                <w:i/>
                <w:iCs/>
                <w:sz w:val="22"/>
                <w:szCs w:val="22"/>
                <w:lang w:val="kk-KZ"/>
              </w:rPr>
              <w:t>(әсіресе қызмет көрсету саласында)</w:t>
            </w:r>
            <w:r w:rsidRPr="00AA6DAF">
              <w:rPr>
                <w:lang w:val="kk-KZ"/>
              </w:rPr>
              <w:t xml:space="preserve">, білім беру ұйымдарында және өзге де </w:t>
            </w:r>
            <w:r>
              <w:rPr>
                <w:lang w:val="kk-KZ"/>
              </w:rPr>
              <w:t>орындарда</w:t>
            </w:r>
            <w:r w:rsidRPr="00AA6DAF">
              <w:rPr>
                <w:lang w:val="kk-KZ"/>
              </w:rPr>
              <w:t xml:space="preserve"> </w:t>
            </w:r>
            <w:r w:rsidR="00A24772">
              <w:rPr>
                <w:lang w:val="kk-KZ"/>
              </w:rPr>
              <w:t>р</w:t>
            </w:r>
            <w:r w:rsidR="00A24772" w:rsidRPr="00AA6DAF">
              <w:rPr>
                <w:lang w:val="kk-KZ"/>
              </w:rPr>
              <w:t xml:space="preserve">еспубликалық </w:t>
            </w:r>
            <w:r w:rsidRPr="00AA6DAF">
              <w:rPr>
                <w:lang w:val="kk-KZ"/>
              </w:rPr>
              <w:t>ақпараттық-</w:t>
            </w:r>
            <w:r w:rsidRPr="00AA6DAF">
              <w:rPr>
                <w:lang w:val="kk-KZ"/>
              </w:rPr>
              <w:lastRenderedPageBreak/>
              <w:t>түсіндіру тобы мүшелерін тарта отырып өткізіледі.</w:t>
            </w:r>
          </w:p>
          <w:p w:rsidR="00200EA6" w:rsidRPr="00AA6DAF" w:rsidRDefault="00200EA6" w:rsidP="00171B4C">
            <w:pPr>
              <w:tabs>
                <w:tab w:val="left" w:pos="5"/>
              </w:tabs>
              <w:jc w:val="both"/>
              <w:rPr>
                <w:lang w:val="kk-KZ"/>
              </w:rPr>
            </w:pPr>
            <w:r w:rsidRPr="00AA6DAF">
              <w:rPr>
                <w:lang w:val="kk-KZ"/>
              </w:rPr>
              <w:t xml:space="preserve">Қамту – әр өңірде кемінде 1000 </w:t>
            </w:r>
            <w:r w:rsidRPr="00AA6DAF">
              <w:rPr>
                <w:i/>
                <w:iCs/>
                <w:sz w:val="22"/>
                <w:szCs w:val="22"/>
                <w:lang w:val="kk-KZ"/>
              </w:rPr>
              <w:t xml:space="preserve">(мың) </w:t>
            </w:r>
            <w:r w:rsidRPr="00AA6DAF">
              <w:rPr>
                <w:lang w:val="kk-KZ"/>
              </w:rPr>
              <w:t>адам:</w:t>
            </w:r>
          </w:p>
          <w:p w:rsidR="00200EA6" w:rsidRPr="00AA6DAF" w:rsidRDefault="00200EA6" w:rsidP="00171B4C">
            <w:pPr>
              <w:tabs>
                <w:tab w:val="left" w:pos="5"/>
              </w:tabs>
              <w:jc w:val="both"/>
              <w:rPr>
                <w:lang w:val="kk-KZ"/>
              </w:rPr>
            </w:pPr>
          </w:p>
          <w:p w:rsidR="00200EA6" w:rsidRPr="00AA6DAF" w:rsidRDefault="00200EA6" w:rsidP="00171B4C">
            <w:pPr>
              <w:tabs>
                <w:tab w:val="left" w:pos="5"/>
              </w:tabs>
              <w:jc w:val="both"/>
              <w:rPr>
                <w:lang w:val="kk-KZ"/>
              </w:rPr>
            </w:pPr>
            <w:r w:rsidRPr="00AA6DAF">
              <w:rPr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  <w:r w:rsidRPr="00AA6DAF">
              <w:rPr>
                <w:lang w:val="kk-KZ"/>
              </w:rPr>
              <w:t xml:space="preserve"> 2026 жылы – Шығыс Қазақстан, Павлодар, Қарағанды, Қостанай, Солтүстік Қазақстан облыстары және Абай облысы;</w:t>
            </w:r>
          </w:p>
          <w:p w:rsidR="00200EA6" w:rsidRPr="00AA6DAF" w:rsidRDefault="00200EA6" w:rsidP="00171B4C">
            <w:pPr>
              <w:tabs>
                <w:tab w:val="left" w:pos="5"/>
              </w:tabs>
              <w:jc w:val="both"/>
              <w:rPr>
                <w:lang w:val="kk-KZ"/>
              </w:rPr>
            </w:pPr>
            <w:r w:rsidRPr="00AA6DAF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- </w:t>
            </w:r>
            <w:r w:rsidRPr="00AA6DAF">
              <w:rPr>
                <w:lang w:val="kk-KZ"/>
              </w:rPr>
              <w:t>2027 жылы – Батыс Қазақстан, Жамбыл, Алматы, Түркістан, Маңғыстау облыстары және Алматы қаласы.</w:t>
            </w:r>
          </w:p>
          <w:p w:rsidR="00200EA6" w:rsidRPr="00AA6DAF" w:rsidRDefault="00200EA6" w:rsidP="00171B4C">
            <w:pPr>
              <w:tabs>
                <w:tab w:val="left" w:pos="5"/>
              </w:tabs>
              <w:jc w:val="both"/>
              <w:rPr>
                <w:lang w:val="kk-KZ"/>
              </w:rPr>
            </w:pPr>
          </w:p>
          <w:p w:rsidR="00200EA6" w:rsidRPr="00AA6DAF" w:rsidRDefault="00200EA6" w:rsidP="00171B4C">
            <w:pPr>
              <w:tabs>
                <w:tab w:val="left" w:pos="5"/>
              </w:tabs>
              <w:jc w:val="both"/>
              <w:rPr>
                <w:lang w:val="kk-KZ"/>
              </w:rPr>
            </w:pPr>
            <w:r w:rsidRPr="00AA6DAF">
              <w:rPr>
                <w:lang w:val="kk-KZ"/>
              </w:rPr>
              <w:t xml:space="preserve"> 3. Этносаралық қатынастарды нығайтуға бағытталған мемлекеттік саясаттың басымдықтары, сондай-ақ құқықтық, этносаяси және медиасауаттылық мәселелері бойынша өңірлік ақпараттық-түсіндіру топтары мүшелерінің біліктілігін офлайн форматта арттыру.</w:t>
            </w:r>
          </w:p>
          <w:p w:rsidR="00200EA6" w:rsidRPr="00AA6DAF" w:rsidRDefault="00200EA6" w:rsidP="00171B4C">
            <w:pPr>
              <w:tabs>
                <w:tab w:val="left" w:pos="5"/>
              </w:tabs>
              <w:jc w:val="both"/>
              <w:rPr>
                <w:lang w:val="kk-KZ"/>
              </w:rPr>
            </w:pPr>
            <w:r w:rsidRPr="00AA6DAF">
              <w:rPr>
                <w:lang w:val="kk-KZ"/>
              </w:rPr>
              <w:t xml:space="preserve">Оқытуға </w:t>
            </w:r>
            <w:r w:rsidR="00A24772">
              <w:rPr>
                <w:lang w:val="kk-KZ"/>
              </w:rPr>
              <w:t>р</w:t>
            </w:r>
            <w:r w:rsidR="00A24772" w:rsidRPr="00AA6DAF">
              <w:rPr>
                <w:lang w:val="kk-KZ"/>
              </w:rPr>
              <w:t xml:space="preserve">еспубликалық </w:t>
            </w:r>
            <w:r w:rsidRPr="00AA6DAF">
              <w:rPr>
                <w:lang w:val="kk-KZ"/>
              </w:rPr>
              <w:t xml:space="preserve">ақпараттық-түсіндіру тобының кемінде 5 </w:t>
            </w:r>
            <w:r w:rsidRPr="00AA6DAF">
              <w:rPr>
                <w:i/>
                <w:iCs/>
                <w:lang w:val="kk-KZ"/>
              </w:rPr>
              <w:t>(бес)</w:t>
            </w:r>
            <w:r w:rsidRPr="00AA6DAF">
              <w:rPr>
                <w:lang w:val="kk-KZ"/>
              </w:rPr>
              <w:t xml:space="preserve"> мүшесі қатысады және өңірлік ақпараттық-түсіндіру топтарының кемінде 50 </w:t>
            </w:r>
            <w:r w:rsidRPr="00AA6DAF">
              <w:rPr>
                <w:i/>
                <w:iCs/>
                <w:lang w:val="kk-KZ"/>
              </w:rPr>
              <w:t>(елу)</w:t>
            </w:r>
            <w:r w:rsidRPr="00AA6DAF">
              <w:rPr>
                <w:lang w:val="kk-KZ"/>
              </w:rPr>
              <w:t xml:space="preserve"> пайызы қамтылады:</w:t>
            </w:r>
          </w:p>
          <w:p w:rsidR="00200EA6" w:rsidRPr="00AA6DAF" w:rsidRDefault="00200EA6" w:rsidP="00171B4C">
            <w:pPr>
              <w:tabs>
                <w:tab w:val="left" w:pos="5"/>
              </w:tabs>
              <w:jc w:val="both"/>
              <w:rPr>
                <w:lang w:val="kk-KZ"/>
              </w:rPr>
            </w:pPr>
          </w:p>
          <w:p w:rsidR="00200EA6" w:rsidRPr="00AA6DAF" w:rsidRDefault="00200EA6" w:rsidP="00171B4C">
            <w:pPr>
              <w:tabs>
                <w:tab w:val="left" w:pos="5"/>
              </w:tabs>
              <w:jc w:val="both"/>
              <w:rPr>
                <w:lang w:val="kk-KZ"/>
              </w:rPr>
            </w:pPr>
            <w:r w:rsidRPr="00AA6DAF">
              <w:rPr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  <w:r w:rsidRPr="00AA6DAF">
              <w:rPr>
                <w:lang w:val="kk-KZ"/>
              </w:rPr>
              <w:t xml:space="preserve"> 2026 жылы – Шығыс Қазақстан, Павлодар, Қарағанды, Қостанай, </w:t>
            </w:r>
            <w:r w:rsidRPr="00AA6DAF">
              <w:rPr>
                <w:lang w:val="kk-KZ"/>
              </w:rPr>
              <w:lastRenderedPageBreak/>
              <w:t>Солтүстік Қазақстан облыстары, Астана қаласы, Шымкент қаласы, Абай, Жетісу, Ұлытау облыстары;</w:t>
            </w:r>
          </w:p>
          <w:p w:rsidR="00200EA6" w:rsidRPr="000758D6" w:rsidRDefault="00200EA6" w:rsidP="00171B4C">
            <w:pPr>
              <w:tabs>
                <w:tab w:val="left" w:pos="461"/>
                <w:tab w:val="left" w:pos="1152"/>
              </w:tabs>
              <w:jc w:val="both"/>
              <w:rPr>
                <w:lang w:val="kk-KZ"/>
              </w:rPr>
            </w:pPr>
            <w:r w:rsidRPr="00AA6DAF">
              <w:rPr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  <w:r w:rsidRPr="00AA6DAF">
              <w:rPr>
                <w:lang w:val="kk-KZ"/>
              </w:rPr>
              <w:t xml:space="preserve"> 2027 жылы – Батыс Қазақстан, Жамбыл, Алматы</w:t>
            </w:r>
            <w:r>
              <w:rPr>
                <w:lang w:val="kk-KZ"/>
              </w:rPr>
              <w:t xml:space="preserve">, </w:t>
            </w:r>
            <w:r w:rsidRPr="00AA6DAF">
              <w:rPr>
                <w:lang w:val="kk-KZ"/>
              </w:rPr>
              <w:t>Түркістан, Ақмола, Ақтөбе, Атырау, Қызылорда, Маңғыстау облыстары</w:t>
            </w:r>
            <w:r>
              <w:rPr>
                <w:lang w:val="kk-KZ"/>
              </w:rPr>
              <w:t xml:space="preserve"> және </w:t>
            </w:r>
            <w:r w:rsidRPr="00AA6DAF">
              <w:rPr>
                <w:lang w:val="kk-KZ"/>
              </w:rPr>
              <w:t>Алматы қаласы.</w:t>
            </w:r>
          </w:p>
        </w:tc>
        <w:tc>
          <w:tcPr>
            <w:tcW w:w="1561" w:type="dxa"/>
          </w:tcPr>
          <w:p w:rsidR="00200EA6" w:rsidRPr="008A3C4B" w:rsidRDefault="00200EA6" w:rsidP="00171B4C">
            <w:pPr>
              <w:spacing w:before="100" w:beforeAutospacing="1" w:after="100" w:afterAutospacing="1"/>
              <w:rPr>
                <w:b/>
                <w:lang w:val="kk-KZ"/>
              </w:rPr>
            </w:pPr>
          </w:p>
        </w:tc>
      </w:tr>
      <w:tr w:rsidR="00521189" w:rsidRPr="008A3C4B" w:rsidTr="00171B4C">
        <w:trPr>
          <w:trHeight w:val="70"/>
        </w:trPr>
        <w:tc>
          <w:tcPr>
            <w:tcW w:w="704" w:type="dxa"/>
            <w:shd w:val="clear" w:color="auto" w:fill="D0CECE" w:themeFill="background2" w:themeFillShade="E6"/>
          </w:tcPr>
          <w:p w:rsidR="00521189" w:rsidRPr="008A3C4B" w:rsidRDefault="00521189" w:rsidP="0017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</w:p>
        </w:tc>
        <w:tc>
          <w:tcPr>
            <w:tcW w:w="2835" w:type="dxa"/>
            <w:gridSpan w:val="2"/>
            <w:shd w:val="clear" w:color="auto" w:fill="D0CECE" w:themeFill="background2" w:themeFillShade="E6"/>
          </w:tcPr>
          <w:p w:rsidR="00521189" w:rsidRPr="008A3C4B" w:rsidRDefault="00521189" w:rsidP="00171B4C">
            <w:pPr>
              <w:pStyle w:val="3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  <w:lang w:val="kk-KZ"/>
              </w:rPr>
            </w:pPr>
            <w:r w:rsidRPr="008A3C4B">
              <w:rPr>
                <w:lang w:val="kk-KZ"/>
              </w:rPr>
              <w:t>202</w:t>
            </w:r>
            <w:r>
              <w:rPr>
                <w:lang w:val="kk-KZ"/>
              </w:rPr>
              <w:t>6</w:t>
            </w:r>
            <w:r w:rsidRPr="008A3C4B">
              <w:rPr>
                <w:lang w:val="kk-KZ"/>
              </w:rPr>
              <w:t xml:space="preserve"> жылға</w:t>
            </w:r>
            <w:r>
              <w:rPr>
                <w:lang w:val="kk-KZ"/>
              </w:rPr>
              <w:t xml:space="preserve"> </w:t>
            </w:r>
            <w:r w:rsidRPr="008A3C4B">
              <w:rPr>
                <w:lang w:val="kk-KZ"/>
              </w:rPr>
              <w:t>БАРЛЫҒЫ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521189" w:rsidRPr="008A3C4B" w:rsidRDefault="00521189" w:rsidP="00171B4C">
            <w:pPr>
              <w:pBdr>
                <w:bottom w:val="single" w:sz="4" w:space="29" w:color="FFFFFF"/>
              </w:pBdr>
              <w:tabs>
                <w:tab w:val="right" w:pos="0"/>
              </w:tabs>
              <w:contextualSpacing/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:rsidR="00521189" w:rsidRPr="00E40A57" w:rsidRDefault="00521189" w:rsidP="00171B4C">
            <w:pPr>
              <w:jc w:val="both"/>
              <w:rPr>
                <w:b/>
              </w:rPr>
            </w:pPr>
            <w:r>
              <w:rPr>
                <w:b/>
              </w:rPr>
              <w:t>58 276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:rsidR="00521189" w:rsidRPr="008A3C4B" w:rsidRDefault="00521189" w:rsidP="00171B4C">
            <w:pPr>
              <w:jc w:val="both"/>
              <w:rPr>
                <w:b/>
                <w:lang w:val="kk-KZ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:rsidR="00521189" w:rsidRPr="008A3C4B" w:rsidRDefault="00521189" w:rsidP="00171B4C">
            <w:pPr>
              <w:pStyle w:val="3"/>
              <w:spacing w:before="0" w:beforeAutospacing="0" w:after="0" w:afterAutospacing="0"/>
              <w:contextualSpacing/>
              <w:jc w:val="both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3400" w:type="dxa"/>
            <w:shd w:val="clear" w:color="auto" w:fill="D0CECE" w:themeFill="background2" w:themeFillShade="E6"/>
          </w:tcPr>
          <w:p w:rsidR="00521189" w:rsidRPr="008A3C4B" w:rsidRDefault="00521189" w:rsidP="00171B4C">
            <w:pPr>
              <w:pStyle w:val="3"/>
              <w:spacing w:before="0" w:beforeAutospacing="0" w:after="0" w:afterAutospacing="0"/>
              <w:contextualSpacing/>
              <w:jc w:val="both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shd w:val="clear" w:color="auto" w:fill="D0CECE" w:themeFill="background2" w:themeFillShade="E6"/>
          </w:tcPr>
          <w:p w:rsidR="00521189" w:rsidRPr="008A3C4B" w:rsidRDefault="00521189" w:rsidP="00171B4C">
            <w:pPr>
              <w:pStyle w:val="3"/>
              <w:spacing w:before="0" w:beforeAutospacing="0" w:after="0" w:afterAutospacing="0"/>
              <w:contextualSpacing/>
              <w:jc w:val="both"/>
              <w:rPr>
                <w:b w:val="0"/>
                <w:sz w:val="24"/>
                <w:szCs w:val="24"/>
                <w:lang w:val="kk-KZ"/>
              </w:rPr>
            </w:pPr>
          </w:p>
        </w:tc>
      </w:tr>
      <w:tr w:rsidR="00521189" w:rsidRPr="008A3C4B" w:rsidTr="00171B4C">
        <w:trPr>
          <w:trHeight w:val="70"/>
        </w:trPr>
        <w:tc>
          <w:tcPr>
            <w:tcW w:w="704" w:type="dxa"/>
            <w:shd w:val="clear" w:color="auto" w:fill="D0CECE" w:themeFill="background2" w:themeFillShade="E6"/>
          </w:tcPr>
          <w:p w:rsidR="00521189" w:rsidRPr="008A3C4B" w:rsidRDefault="00521189" w:rsidP="00171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</w:p>
        </w:tc>
        <w:tc>
          <w:tcPr>
            <w:tcW w:w="2835" w:type="dxa"/>
            <w:gridSpan w:val="2"/>
            <w:shd w:val="clear" w:color="auto" w:fill="D0CECE" w:themeFill="background2" w:themeFillShade="E6"/>
          </w:tcPr>
          <w:p w:rsidR="00521189" w:rsidRPr="008A3C4B" w:rsidRDefault="00521189" w:rsidP="00171B4C">
            <w:pPr>
              <w:pStyle w:val="3"/>
              <w:spacing w:before="0" w:beforeAutospacing="0" w:after="0" w:afterAutospacing="0"/>
              <w:contextualSpacing/>
              <w:jc w:val="center"/>
              <w:rPr>
                <w:lang w:val="kk-KZ"/>
              </w:rPr>
            </w:pPr>
            <w:r w:rsidRPr="008A3C4B">
              <w:rPr>
                <w:lang w:val="kk-KZ"/>
              </w:rPr>
              <w:t>202</w:t>
            </w:r>
            <w:r>
              <w:rPr>
                <w:lang w:val="kk-KZ"/>
              </w:rPr>
              <w:t>7</w:t>
            </w:r>
            <w:r w:rsidRPr="008A3C4B">
              <w:rPr>
                <w:lang w:val="kk-KZ"/>
              </w:rPr>
              <w:t xml:space="preserve"> жылға</w:t>
            </w:r>
            <w:r>
              <w:rPr>
                <w:lang w:val="kk-KZ"/>
              </w:rPr>
              <w:t xml:space="preserve"> </w:t>
            </w:r>
            <w:r w:rsidRPr="008A3C4B">
              <w:rPr>
                <w:lang w:val="kk-KZ"/>
              </w:rPr>
              <w:t>БАРЛЫҒЫ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521189" w:rsidRPr="008A3C4B" w:rsidRDefault="00521189" w:rsidP="00171B4C">
            <w:pPr>
              <w:pBdr>
                <w:bottom w:val="single" w:sz="4" w:space="29" w:color="FFFFFF"/>
              </w:pBdr>
              <w:tabs>
                <w:tab w:val="right" w:pos="0"/>
              </w:tabs>
              <w:contextualSpacing/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:rsidR="00521189" w:rsidRPr="00C72FBB" w:rsidRDefault="00521189" w:rsidP="00171B4C">
            <w:pPr>
              <w:jc w:val="both"/>
              <w:rPr>
                <w:b/>
              </w:rPr>
            </w:pPr>
            <w:r>
              <w:rPr>
                <w:b/>
              </w:rPr>
              <w:t>72 968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:rsidR="00521189" w:rsidRPr="008A3C4B" w:rsidRDefault="00521189" w:rsidP="00171B4C">
            <w:pPr>
              <w:jc w:val="both"/>
              <w:rPr>
                <w:b/>
                <w:lang w:val="kk-KZ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:rsidR="00521189" w:rsidRPr="008A3C4B" w:rsidRDefault="00521189" w:rsidP="00171B4C">
            <w:pPr>
              <w:pStyle w:val="3"/>
              <w:spacing w:before="0" w:beforeAutospacing="0" w:after="0" w:afterAutospacing="0"/>
              <w:contextualSpacing/>
              <w:jc w:val="both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3400" w:type="dxa"/>
            <w:shd w:val="clear" w:color="auto" w:fill="D0CECE" w:themeFill="background2" w:themeFillShade="E6"/>
          </w:tcPr>
          <w:p w:rsidR="00521189" w:rsidRPr="008A3C4B" w:rsidRDefault="00521189" w:rsidP="00171B4C">
            <w:pPr>
              <w:pStyle w:val="3"/>
              <w:spacing w:before="0" w:beforeAutospacing="0" w:after="0" w:afterAutospacing="0"/>
              <w:contextualSpacing/>
              <w:jc w:val="both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shd w:val="clear" w:color="auto" w:fill="D0CECE" w:themeFill="background2" w:themeFillShade="E6"/>
          </w:tcPr>
          <w:p w:rsidR="00521189" w:rsidRPr="008A3C4B" w:rsidRDefault="00521189" w:rsidP="00171B4C">
            <w:pPr>
              <w:pStyle w:val="3"/>
              <w:spacing w:before="0" w:beforeAutospacing="0" w:after="0" w:afterAutospacing="0"/>
              <w:contextualSpacing/>
              <w:jc w:val="both"/>
              <w:rPr>
                <w:b w:val="0"/>
                <w:sz w:val="24"/>
                <w:szCs w:val="24"/>
                <w:lang w:val="kk-KZ"/>
              </w:rPr>
            </w:pPr>
          </w:p>
        </w:tc>
      </w:tr>
    </w:tbl>
    <w:p w:rsidR="002D6074" w:rsidRPr="008A3C4B" w:rsidRDefault="00171B4C">
      <w:pPr>
        <w:rPr>
          <w:lang w:val="kk-KZ"/>
        </w:rPr>
      </w:pPr>
      <w:r>
        <w:rPr>
          <w:lang w:val="kk-KZ"/>
        </w:rPr>
        <w:br w:type="textWrapping" w:clear="all"/>
      </w:r>
    </w:p>
    <w:sectPr w:rsidR="002D6074" w:rsidRPr="008A3C4B" w:rsidSect="00303971">
      <w:headerReference w:type="default" r:id="rId10"/>
      <w:pgSz w:w="16838" w:h="11906" w:orient="landscape"/>
      <w:pgMar w:top="709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488" w:rsidRDefault="00392488" w:rsidP="0033257E">
      <w:r>
        <w:separator/>
      </w:r>
    </w:p>
  </w:endnote>
  <w:endnote w:type="continuationSeparator" w:id="0">
    <w:p w:rsidR="00392488" w:rsidRDefault="00392488" w:rsidP="0033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488" w:rsidRDefault="00392488" w:rsidP="0033257E">
      <w:r>
        <w:separator/>
      </w:r>
    </w:p>
  </w:footnote>
  <w:footnote w:type="continuationSeparator" w:id="0">
    <w:p w:rsidR="00392488" w:rsidRDefault="00392488" w:rsidP="0033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4897556"/>
      <w:docPartObj>
        <w:docPartGallery w:val="Page Numbers (Top of Page)"/>
        <w:docPartUnique/>
      </w:docPartObj>
    </w:sdtPr>
    <w:sdtEndPr/>
    <w:sdtContent>
      <w:p w:rsidR="00F36B07" w:rsidRDefault="00F36B0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85A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1BCE"/>
    <w:multiLevelType w:val="hybridMultilevel"/>
    <w:tmpl w:val="060E817E"/>
    <w:lvl w:ilvl="0" w:tplc="2DFA41EA">
      <w:start w:val="2"/>
      <w:numFmt w:val="decimal"/>
      <w:lvlText w:val="%1)"/>
      <w:lvlJc w:val="left"/>
      <w:pPr>
        <w:ind w:left="38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26195235"/>
    <w:multiLevelType w:val="hybridMultilevel"/>
    <w:tmpl w:val="1AC41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327E8"/>
    <w:multiLevelType w:val="multilevel"/>
    <w:tmpl w:val="677A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C231E9"/>
    <w:multiLevelType w:val="hybridMultilevel"/>
    <w:tmpl w:val="FD2662DC"/>
    <w:lvl w:ilvl="0" w:tplc="492454E2">
      <w:start w:val="1"/>
      <w:numFmt w:val="decimal"/>
      <w:lvlText w:val="%1."/>
      <w:lvlJc w:val="left"/>
      <w:pPr>
        <w:ind w:left="732" w:hanging="672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6B872B1"/>
    <w:multiLevelType w:val="hybridMultilevel"/>
    <w:tmpl w:val="1B563BE2"/>
    <w:lvl w:ilvl="0" w:tplc="6B122EA6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32CDC"/>
    <w:multiLevelType w:val="hybridMultilevel"/>
    <w:tmpl w:val="3ADA26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83E57"/>
    <w:multiLevelType w:val="hybridMultilevel"/>
    <w:tmpl w:val="B0A88B66"/>
    <w:lvl w:ilvl="0" w:tplc="31FCD64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4F"/>
    <w:rsid w:val="00001504"/>
    <w:rsid w:val="00001FDD"/>
    <w:rsid w:val="00002900"/>
    <w:rsid w:val="0000544F"/>
    <w:rsid w:val="00012E59"/>
    <w:rsid w:val="00016B4F"/>
    <w:rsid w:val="00022CF0"/>
    <w:rsid w:val="0002312D"/>
    <w:rsid w:val="000242B6"/>
    <w:rsid w:val="00024EA1"/>
    <w:rsid w:val="0002778E"/>
    <w:rsid w:val="0003376F"/>
    <w:rsid w:val="00037CF0"/>
    <w:rsid w:val="00041DAC"/>
    <w:rsid w:val="00051B51"/>
    <w:rsid w:val="00052F49"/>
    <w:rsid w:val="0005537B"/>
    <w:rsid w:val="00065DA4"/>
    <w:rsid w:val="00066046"/>
    <w:rsid w:val="000668FF"/>
    <w:rsid w:val="00076C2C"/>
    <w:rsid w:val="00081957"/>
    <w:rsid w:val="0008568C"/>
    <w:rsid w:val="000862F8"/>
    <w:rsid w:val="000874D4"/>
    <w:rsid w:val="00091A28"/>
    <w:rsid w:val="00095CAC"/>
    <w:rsid w:val="0009649F"/>
    <w:rsid w:val="000968F5"/>
    <w:rsid w:val="00096F68"/>
    <w:rsid w:val="000A142A"/>
    <w:rsid w:val="000A3BBA"/>
    <w:rsid w:val="000B1B6C"/>
    <w:rsid w:val="000C14E2"/>
    <w:rsid w:val="000C1820"/>
    <w:rsid w:val="000C3202"/>
    <w:rsid w:val="000C680F"/>
    <w:rsid w:val="000D4EEA"/>
    <w:rsid w:val="000E27D8"/>
    <w:rsid w:val="0010102C"/>
    <w:rsid w:val="00102BC1"/>
    <w:rsid w:val="001036F4"/>
    <w:rsid w:val="001112DC"/>
    <w:rsid w:val="00113230"/>
    <w:rsid w:val="0012144F"/>
    <w:rsid w:val="0012162D"/>
    <w:rsid w:val="00121B95"/>
    <w:rsid w:val="001310AF"/>
    <w:rsid w:val="001325CA"/>
    <w:rsid w:val="00137498"/>
    <w:rsid w:val="0014446F"/>
    <w:rsid w:val="00155595"/>
    <w:rsid w:val="00157495"/>
    <w:rsid w:val="00171B4C"/>
    <w:rsid w:val="001757FC"/>
    <w:rsid w:val="001844B8"/>
    <w:rsid w:val="001873C4"/>
    <w:rsid w:val="0019257E"/>
    <w:rsid w:val="001A1E21"/>
    <w:rsid w:val="001B09B9"/>
    <w:rsid w:val="001B2D28"/>
    <w:rsid w:val="001B393D"/>
    <w:rsid w:val="001E299A"/>
    <w:rsid w:val="001F5549"/>
    <w:rsid w:val="00200EA6"/>
    <w:rsid w:val="00202B3F"/>
    <w:rsid w:val="00205090"/>
    <w:rsid w:val="0020694B"/>
    <w:rsid w:val="002108A6"/>
    <w:rsid w:val="00212ABB"/>
    <w:rsid w:val="00215493"/>
    <w:rsid w:val="002164C9"/>
    <w:rsid w:val="00222E32"/>
    <w:rsid w:val="002405CC"/>
    <w:rsid w:val="00240769"/>
    <w:rsid w:val="00241062"/>
    <w:rsid w:val="002456ED"/>
    <w:rsid w:val="002460A0"/>
    <w:rsid w:val="00260C81"/>
    <w:rsid w:val="00261EEB"/>
    <w:rsid w:val="00262423"/>
    <w:rsid w:val="00265866"/>
    <w:rsid w:val="002722D1"/>
    <w:rsid w:val="00274358"/>
    <w:rsid w:val="0027542F"/>
    <w:rsid w:val="00286C28"/>
    <w:rsid w:val="00287B6C"/>
    <w:rsid w:val="00291819"/>
    <w:rsid w:val="00292708"/>
    <w:rsid w:val="002952B5"/>
    <w:rsid w:val="002976AF"/>
    <w:rsid w:val="002A0449"/>
    <w:rsid w:val="002A1ECA"/>
    <w:rsid w:val="002A2E4C"/>
    <w:rsid w:val="002A303F"/>
    <w:rsid w:val="002A3051"/>
    <w:rsid w:val="002B1F30"/>
    <w:rsid w:val="002B6F69"/>
    <w:rsid w:val="002B7757"/>
    <w:rsid w:val="002C5428"/>
    <w:rsid w:val="002D6044"/>
    <w:rsid w:val="002D6074"/>
    <w:rsid w:val="002D74F1"/>
    <w:rsid w:val="002E312D"/>
    <w:rsid w:val="002F0E07"/>
    <w:rsid w:val="002F40D1"/>
    <w:rsid w:val="002F601D"/>
    <w:rsid w:val="002F7646"/>
    <w:rsid w:val="00300098"/>
    <w:rsid w:val="00303971"/>
    <w:rsid w:val="00311288"/>
    <w:rsid w:val="00315D29"/>
    <w:rsid w:val="003178B5"/>
    <w:rsid w:val="0032297B"/>
    <w:rsid w:val="0033257E"/>
    <w:rsid w:val="003349B8"/>
    <w:rsid w:val="00337974"/>
    <w:rsid w:val="00344411"/>
    <w:rsid w:val="0035199B"/>
    <w:rsid w:val="00352771"/>
    <w:rsid w:val="003547EA"/>
    <w:rsid w:val="00360B85"/>
    <w:rsid w:val="00361BD0"/>
    <w:rsid w:val="00363C23"/>
    <w:rsid w:val="00365A44"/>
    <w:rsid w:val="003660F4"/>
    <w:rsid w:val="003666E4"/>
    <w:rsid w:val="00367C9E"/>
    <w:rsid w:val="00376693"/>
    <w:rsid w:val="003805FA"/>
    <w:rsid w:val="00392488"/>
    <w:rsid w:val="003A5ECF"/>
    <w:rsid w:val="003A7B96"/>
    <w:rsid w:val="003B08E9"/>
    <w:rsid w:val="003B3D95"/>
    <w:rsid w:val="003B5D2C"/>
    <w:rsid w:val="003C282F"/>
    <w:rsid w:val="003D0A36"/>
    <w:rsid w:val="003D2526"/>
    <w:rsid w:val="003E02B0"/>
    <w:rsid w:val="003E0453"/>
    <w:rsid w:val="003E7753"/>
    <w:rsid w:val="003F27E9"/>
    <w:rsid w:val="003F5A37"/>
    <w:rsid w:val="00403CCE"/>
    <w:rsid w:val="00405F2D"/>
    <w:rsid w:val="004131BC"/>
    <w:rsid w:val="0041412D"/>
    <w:rsid w:val="004150B5"/>
    <w:rsid w:val="0043079C"/>
    <w:rsid w:val="00431017"/>
    <w:rsid w:val="00433085"/>
    <w:rsid w:val="00435AD8"/>
    <w:rsid w:val="0045080B"/>
    <w:rsid w:val="00456511"/>
    <w:rsid w:val="00461619"/>
    <w:rsid w:val="004632C6"/>
    <w:rsid w:val="004667BB"/>
    <w:rsid w:val="0047234E"/>
    <w:rsid w:val="00472E64"/>
    <w:rsid w:val="00474190"/>
    <w:rsid w:val="00482042"/>
    <w:rsid w:val="004838B3"/>
    <w:rsid w:val="00484637"/>
    <w:rsid w:val="004953C6"/>
    <w:rsid w:val="00495770"/>
    <w:rsid w:val="004A344A"/>
    <w:rsid w:val="004A46CD"/>
    <w:rsid w:val="004A72EB"/>
    <w:rsid w:val="004A7B9C"/>
    <w:rsid w:val="004A7D22"/>
    <w:rsid w:val="004B2FE0"/>
    <w:rsid w:val="004B34A4"/>
    <w:rsid w:val="004B4EF6"/>
    <w:rsid w:val="004C7305"/>
    <w:rsid w:val="004D1297"/>
    <w:rsid w:val="004D46FD"/>
    <w:rsid w:val="004D702A"/>
    <w:rsid w:val="004E13EB"/>
    <w:rsid w:val="004F2070"/>
    <w:rsid w:val="004F62E9"/>
    <w:rsid w:val="004F751A"/>
    <w:rsid w:val="0051271B"/>
    <w:rsid w:val="00521189"/>
    <w:rsid w:val="005253B4"/>
    <w:rsid w:val="00526DE1"/>
    <w:rsid w:val="00531774"/>
    <w:rsid w:val="0054015E"/>
    <w:rsid w:val="005419D0"/>
    <w:rsid w:val="00552948"/>
    <w:rsid w:val="00566202"/>
    <w:rsid w:val="005711B8"/>
    <w:rsid w:val="00574F95"/>
    <w:rsid w:val="00584F4D"/>
    <w:rsid w:val="00585327"/>
    <w:rsid w:val="005908A4"/>
    <w:rsid w:val="005A4589"/>
    <w:rsid w:val="005A7E0C"/>
    <w:rsid w:val="005B0047"/>
    <w:rsid w:val="005B52B2"/>
    <w:rsid w:val="005B662C"/>
    <w:rsid w:val="005C1E36"/>
    <w:rsid w:val="005C39D7"/>
    <w:rsid w:val="005C3A87"/>
    <w:rsid w:val="005D3D19"/>
    <w:rsid w:val="005D5965"/>
    <w:rsid w:val="005D6FBE"/>
    <w:rsid w:val="005E5947"/>
    <w:rsid w:val="00601023"/>
    <w:rsid w:val="006023A6"/>
    <w:rsid w:val="00604D1B"/>
    <w:rsid w:val="00612118"/>
    <w:rsid w:val="00615676"/>
    <w:rsid w:val="00615C69"/>
    <w:rsid w:val="00624E46"/>
    <w:rsid w:val="00625BF4"/>
    <w:rsid w:val="006264F1"/>
    <w:rsid w:val="00630EDC"/>
    <w:rsid w:val="00631342"/>
    <w:rsid w:val="00635115"/>
    <w:rsid w:val="00636A2A"/>
    <w:rsid w:val="00644765"/>
    <w:rsid w:val="006462AD"/>
    <w:rsid w:val="00654E0D"/>
    <w:rsid w:val="00657886"/>
    <w:rsid w:val="00657B36"/>
    <w:rsid w:val="00657FE2"/>
    <w:rsid w:val="00680278"/>
    <w:rsid w:val="006803E8"/>
    <w:rsid w:val="00681310"/>
    <w:rsid w:val="006822F9"/>
    <w:rsid w:val="00685417"/>
    <w:rsid w:val="00686BEA"/>
    <w:rsid w:val="0068758F"/>
    <w:rsid w:val="00690777"/>
    <w:rsid w:val="006914C2"/>
    <w:rsid w:val="00691E37"/>
    <w:rsid w:val="00692174"/>
    <w:rsid w:val="006B794D"/>
    <w:rsid w:val="006D5EA1"/>
    <w:rsid w:val="006D7FA1"/>
    <w:rsid w:val="006E32F9"/>
    <w:rsid w:val="006F05C4"/>
    <w:rsid w:val="006F59FF"/>
    <w:rsid w:val="00705262"/>
    <w:rsid w:val="00710701"/>
    <w:rsid w:val="00714B68"/>
    <w:rsid w:val="00722A3B"/>
    <w:rsid w:val="00727920"/>
    <w:rsid w:val="00727B2F"/>
    <w:rsid w:val="00742F4B"/>
    <w:rsid w:val="00746217"/>
    <w:rsid w:val="00752ABE"/>
    <w:rsid w:val="007621D7"/>
    <w:rsid w:val="00763CEE"/>
    <w:rsid w:val="00765403"/>
    <w:rsid w:val="00765889"/>
    <w:rsid w:val="0077047B"/>
    <w:rsid w:val="00770E3D"/>
    <w:rsid w:val="00772325"/>
    <w:rsid w:val="00772761"/>
    <w:rsid w:val="00792126"/>
    <w:rsid w:val="00793D94"/>
    <w:rsid w:val="0079773D"/>
    <w:rsid w:val="007A4124"/>
    <w:rsid w:val="007B1181"/>
    <w:rsid w:val="007B3220"/>
    <w:rsid w:val="007B700D"/>
    <w:rsid w:val="007C28FE"/>
    <w:rsid w:val="007C598A"/>
    <w:rsid w:val="007C6150"/>
    <w:rsid w:val="007D2482"/>
    <w:rsid w:val="007D2C54"/>
    <w:rsid w:val="007D3FFE"/>
    <w:rsid w:val="007D52B3"/>
    <w:rsid w:val="007D6A4F"/>
    <w:rsid w:val="007F302B"/>
    <w:rsid w:val="007F6802"/>
    <w:rsid w:val="00806726"/>
    <w:rsid w:val="0080708B"/>
    <w:rsid w:val="00814AA2"/>
    <w:rsid w:val="008211D7"/>
    <w:rsid w:val="00826365"/>
    <w:rsid w:val="008333F6"/>
    <w:rsid w:val="00850175"/>
    <w:rsid w:val="00851559"/>
    <w:rsid w:val="00853C93"/>
    <w:rsid w:val="008551B5"/>
    <w:rsid w:val="008641E3"/>
    <w:rsid w:val="00867BA6"/>
    <w:rsid w:val="00873B5D"/>
    <w:rsid w:val="00874D54"/>
    <w:rsid w:val="00876224"/>
    <w:rsid w:val="00884136"/>
    <w:rsid w:val="00884C62"/>
    <w:rsid w:val="00886D6E"/>
    <w:rsid w:val="008874C5"/>
    <w:rsid w:val="00896A38"/>
    <w:rsid w:val="008A3C4B"/>
    <w:rsid w:val="008A57C1"/>
    <w:rsid w:val="008B211F"/>
    <w:rsid w:val="008B366E"/>
    <w:rsid w:val="008B796B"/>
    <w:rsid w:val="008D1E71"/>
    <w:rsid w:val="008E011A"/>
    <w:rsid w:val="008E04C6"/>
    <w:rsid w:val="00900C79"/>
    <w:rsid w:val="009027F0"/>
    <w:rsid w:val="00911065"/>
    <w:rsid w:val="00911213"/>
    <w:rsid w:val="009161DC"/>
    <w:rsid w:val="0092124F"/>
    <w:rsid w:val="00924ECA"/>
    <w:rsid w:val="0095019B"/>
    <w:rsid w:val="00954738"/>
    <w:rsid w:val="0096474E"/>
    <w:rsid w:val="009721C1"/>
    <w:rsid w:val="00973D67"/>
    <w:rsid w:val="009814B7"/>
    <w:rsid w:val="00985DC3"/>
    <w:rsid w:val="009871C9"/>
    <w:rsid w:val="00996A11"/>
    <w:rsid w:val="00996AA5"/>
    <w:rsid w:val="009A70C6"/>
    <w:rsid w:val="009B2BB8"/>
    <w:rsid w:val="009C19CD"/>
    <w:rsid w:val="009D555B"/>
    <w:rsid w:val="009D737C"/>
    <w:rsid w:val="009E2F24"/>
    <w:rsid w:val="009F0509"/>
    <w:rsid w:val="009F4430"/>
    <w:rsid w:val="00A066D4"/>
    <w:rsid w:val="00A076E8"/>
    <w:rsid w:val="00A24772"/>
    <w:rsid w:val="00A26A51"/>
    <w:rsid w:val="00A35445"/>
    <w:rsid w:val="00A373F8"/>
    <w:rsid w:val="00A41A24"/>
    <w:rsid w:val="00A4472A"/>
    <w:rsid w:val="00A44B88"/>
    <w:rsid w:val="00A54F76"/>
    <w:rsid w:val="00A601B8"/>
    <w:rsid w:val="00A64809"/>
    <w:rsid w:val="00A66105"/>
    <w:rsid w:val="00A67723"/>
    <w:rsid w:val="00A821E3"/>
    <w:rsid w:val="00A83A1B"/>
    <w:rsid w:val="00A8666B"/>
    <w:rsid w:val="00A93111"/>
    <w:rsid w:val="00A94067"/>
    <w:rsid w:val="00AA3A93"/>
    <w:rsid w:val="00AA68D2"/>
    <w:rsid w:val="00AB711B"/>
    <w:rsid w:val="00AB71EA"/>
    <w:rsid w:val="00AC0412"/>
    <w:rsid w:val="00AC0F9A"/>
    <w:rsid w:val="00AC28BD"/>
    <w:rsid w:val="00AC637A"/>
    <w:rsid w:val="00AE55C7"/>
    <w:rsid w:val="00AF542E"/>
    <w:rsid w:val="00AF58B8"/>
    <w:rsid w:val="00B045B7"/>
    <w:rsid w:val="00B062A5"/>
    <w:rsid w:val="00B12ECF"/>
    <w:rsid w:val="00B13A78"/>
    <w:rsid w:val="00B21DE7"/>
    <w:rsid w:val="00B27BFC"/>
    <w:rsid w:val="00B30317"/>
    <w:rsid w:val="00B35A24"/>
    <w:rsid w:val="00B368C1"/>
    <w:rsid w:val="00B412B5"/>
    <w:rsid w:val="00B57F83"/>
    <w:rsid w:val="00B639EE"/>
    <w:rsid w:val="00B70BF8"/>
    <w:rsid w:val="00B72962"/>
    <w:rsid w:val="00B8388B"/>
    <w:rsid w:val="00B954CB"/>
    <w:rsid w:val="00BA6D2D"/>
    <w:rsid w:val="00BA795B"/>
    <w:rsid w:val="00BB55D8"/>
    <w:rsid w:val="00BC14C7"/>
    <w:rsid w:val="00BC4D23"/>
    <w:rsid w:val="00BC6E09"/>
    <w:rsid w:val="00BD10FB"/>
    <w:rsid w:val="00BD3725"/>
    <w:rsid w:val="00BD4BA5"/>
    <w:rsid w:val="00BE00F2"/>
    <w:rsid w:val="00BE5218"/>
    <w:rsid w:val="00BF342F"/>
    <w:rsid w:val="00C12642"/>
    <w:rsid w:val="00C158B4"/>
    <w:rsid w:val="00C16FBF"/>
    <w:rsid w:val="00C22824"/>
    <w:rsid w:val="00C253F3"/>
    <w:rsid w:val="00C30EB1"/>
    <w:rsid w:val="00C334E1"/>
    <w:rsid w:val="00C40B11"/>
    <w:rsid w:val="00C5025F"/>
    <w:rsid w:val="00C64432"/>
    <w:rsid w:val="00C65BD2"/>
    <w:rsid w:val="00C72A4D"/>
    <w:rsid w:val="00C80EF8"/>
    <w:rsid w:val="00C836D4"/>
    <w:rsid w:val="00C86854"/>
    <w:rsid w:val="00C86949"/>
    <w:rsid w:val="00C86CB6"/>
    <w:rsid w:val="00C92B91"/>
    <w:rsid w:val="00CA045C"/>
    <w:rsid w:val="00CA06FE"/>
    <w:rsid w:val="00CA185A"/>
    <w:rsid w:val="00CB5C76"/>
    <w:rsid w:val="00CC4A44"/>
    <w:rsid w:val="00CC7473"/>
    <w:rsid w:val="00CD592D"/>
    <w:rsid w:val="00CD5AF2"/>
    <w:rsid w:val="00CD6460"/>
    <w:rsid w:val="00CE2B53"/>
    <w:rsid w:val="00CE447E"/>
    <w:rsid w:val="00CE532F"/>
    <w:rsid w:val="00CF72A9"/>
    <w:rsid w:val="00D0407F"/>
    <w:rsid w:val="00D07182"/>
    <w:rsid w:val="00D10F73"/>
    <w:rsid w:val="00D155DB"/>
    <w:rsid w:val="00D15FED"/>
    <w:rsid w:val="00D2078D"/>
    <w:rsid w:val="00D2411A"/>
    <w:rsid w:val="00D264F5"/>
    <w:rsid w:val="00D31845"/>
    <w:rsid w:val="00D31E59"/>
    <w:rsid w:val="00D3565C"/>
    <w:rsid w:val="00D36EB1"/>
    <w:rsid w:val="00D36F3E"/>
    <w:rsid w:val="00D37373"/>
    <w:rsid w:val="00D465CE"/>
    <w:rsid w:val="00D46C48"/>
    <w:rsid w:val="00D52D03"/>
    <w:rsid w:val="00D627E4"/>
    <w:rsid w:val="00D708B9"/>
    <w:rsid w:val="00D742AB"/>
    <w:rsid w:val="00D9015B"/>
    <w:rsid w:val="00D93A69"/>
    <w:rsid w:val="00D944F6"/>
    <w:rsid w:val="00D96886"/>
    <w:rsid w:val="00DA6C17"/>
    <w:rsid w:val="00DB5BEE"/>
    <w:rsid w:val="00DB5CC7"/>
    <w:rsid w:val="00DB73FA"/>
    <w:rsid w:val="00DC7A32"/>
    <w:rsid w:val="00DD43F6"/>
    <w:rsid w:val="00DD5641"/>
    <w:rsid w:val="00DD6BAC"/>
    <w:rsid w:val="00DE1DF1"/>
    <w:rsid w:val="00DE4E08"/>
    <w:rsid w:val="00DE6FC9"/>
    <w:rsid w:val="00DF29C0"/>
    <w:rsid w:val="00DF2E32"/>
    <w:rsid w:val="00DF4A71"/>
    <w:rsid w:val="00DF5712"/>
    <w:rsid w:val="00DF70FA"/>
    <w:rsid w:val="00E01B7E"/>
    <w:rsid w:val="00E102F1"/>
    <w:rsid w:val="00E1209C"/>
    <w:rsid w:val="00E16FB7"/>
    <w:rsid w:val="00E16FDC"/>
    <w:rsid w:val="00E2012B"/>
    <w:rsid w:val="00E262A6"/>
    <w:rsid w:val="00E314DA"/>
    <w:rsid w:val="00E32A04"/>
    <w:rsid w:val="00E41F4A"/>
    <w:rsid w:val="00E45370"/>
    <w:rsid w:val="00E46E19"/>
    <w:rsid w:val="00E67BDE"/>
    <w:rsid w:val="00E70788"/>
    <w:rsid w:val="00E72D58"/>
    <w:rsid w:val="00E74952"/>
    <w:rsid w:val="00E80456"/>
    <w:rsid w:val="00E926F2"/>
    <w:rsid w:val="00E931C0"/>
    <w:rsid w:val="00E95751"/>
    <w:rsid w:val="00E95E53"/>
    <w:rsid w:val="00EA5838"/>
    <w:rsid w:val="00EC1FFE"/>
    <w:rsid w:val="00EC44D6"/>
    <w:rsid w:val="00EC6DED"/>
    <w:rsid w:val="00EE43E7"/>
    <w:rsid w:val="00F13CDF"/>
    <w:rsid w:val="00F1464E"/>
    <w:rsid w:val="00F2302B"/>
    <w:rsid w:val="00F24366"/>
    <w:rsid w:val="00F26F4E"/>
    <w:rsid w:val="00F339D4"/>
    <w:rsid w:val="00F36B07"/>
    <w:rsid w:val="00F41977"/>
    <w:rsid w:val="00F427DA"/>
    <w:rsid w:val="00F5032C"/>
    <w:rsid w:val="00F52141"/>
    <w:rsid w:val="00F52ECC"/>
    <w:rsid w:val="00F5354B"/>
    <w:rsid w:val="00F54B91"/>
    <w:rsid w:val="00F5540C"/>
    <w:rsid w:val="00F57EA4"/>
    <w:rsid w:val="00F64CD0"/>
    <w:rsid w:val="00F7238C"/>
    <w:rsid w:val="00F73D05"/>
    <w:rsid w:val="00F7490F"/>
    <w:rsid w:val="00F77338"/>
    <w:rsid w:val="00F81D74"/>
    <w:rsid w:val="00F82ABB"/>
    <w:rsid w:val="00F82C89"/>
    <w:rsid w:val="00F849DE"/>
    <w:rsid w:val="00F92378"/>
    <w:rsid w:val="00FB6955"/>
    <w:rsid w:val="00FB6BDA"/>
    <w:rsid w:val="00FC06C4"/>
    <w:rsid w:val="00FD4F05"/>
    <w:rsid w:val="00F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E6D78"/>
  <w15:chartTrackingRefBased/>
  <w15:docId w15:val="{E753E8A9-B64E-4D23-9D3C-119ED0A6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5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7E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954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54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unhideWhenUsed/>
    <w:rsid w:val="00287B6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287B6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aliases w:val="Heading 2_sj,Título Tablas y Figuras,Párrafo,DINFO_Materia,List 100s,WB Para,Liste 1,Paragraphe  revu,Paragraphe de liste1,List Paragraph nowy,References,Medium Grid 1 - Accent 21,Numbered List Paragraph,ReferencesCxSpLast,title 3,Figure,3"/>
    <w:basedOn w:val="a"/>
    <w:link w:val="a6"/>
    <w:uiPriority w:val="34"/>
    <w:qFormat/>
    <w:rsid w:val="003766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7E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7">
    <w:name w:val="Hyperlink"/>
    <w:basedOn w:val="a0"/>
    <w:uiPriority w:val="99"/>
    <w:unhideWhenUsed/>
    <w:rsid w:val="004B2FE0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qFormat/>
    <w:rsid w:val="00B062A5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3325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325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144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444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aliases w:val="Айгерим"/>
    <w:link w:val="ae"/>
    <w:uiPriority w:val="1"/>
    <w:qFormat/>
    <w:rsid w:val="00E67BDE"/>
    <w:pPr>
      <w:spacing w:after="0" w:line="240" w:lineRule="auto"/>
    </w:pPr>
  </w:style>
  <w:style w:type="character" w:customStyle="1" w:styleId="ae">
    <w:name w:val="Без интервала Знак"/>
    <w:aliases w:val="Айгерим Знак"/>
    <w:link w:val="ad"/>
    <w:uiPriority w:val="1"/>
    <w:locked/>
    <w:rsid w:val="00E67BDE"/>
  </w:style>
  <w:style w:type="character" w:customStyle="1" w:styleId="ezkurwreuab5ozgtqnkl">
    <w:name w:val="ezkurwreuab5ozgtqnkl"/>
    <w:basedOn w:val="a0"/>
    <w:rsid w:val="00E67BDE"/>
  </w:style>
  <w:style w:type="character" w:customStyle="1" w:styleId="ypks7kbdpwfgdykd3qb9">
    <w:name w:val="ypks7kbdpwfgdykd3qb9"/>
    <w:basedOn w:val="a0"/>
    <w:rsid w:val="00F5354B"/>
  </w:style>
  <w:style w:type="character" w:customStyle="1" w:styleId="a6">
    <w:name w:val="Абзац списка Знак"/>
    <w:aliases w:val="Heading 2_sj Знак,Título Tablas y Figuras Знак,Párrafo Знак,DINFO_Materia Знак,List 100s Знак,WB Para Знак,Liste 1 Знак,Paragraphe  revu Знак,Paragraphe de liste1 Знак,List Paragraph nowy Знак,References Знак,ReferencesCxSpLast Знак"/>
    <w:link w:val="a5"/>
    <w:uiPriority w:val="34"/>
    <w:qFormat/>
    <w:locked/>
    <w:rsid w:val="00F773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5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8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4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2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5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2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1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5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2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1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6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60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0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48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4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0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kenes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azkenes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91DC0-F395-4B85-B1B4-CDADFF4DE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Тоғжан Зейденова</dc:creator>
  <cp:keywords/>
  <dc:description/>
  <cp:lastModifiedBy>Азат Мухамеджанов</cp:lastModifiedBy>
  <cp:revision>4</cp:revision>
  <cp:lastPrinted>2026-02-10T06:02:00Z</cp:lastPrinted>
  <dcterms:created xsi:type="dcterms:W3CDTF">2026-02-10T05:21:00Z</dcterms:created>
  <dcterms:modified xsi:type="dcterms:W3CDTF">2026-02-10T06:02:00Z</dcterms:modified>
</cp:coreProperties>
</file>