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C2A68" w14:textId="77777777" w:rsidR="00584334" w:rsidRPr="00584334" w:rsidRDefault="00584334" w:rsidP="00584334">
      <w:pPr>
        <w:shd w:val="clear" w:color="auto" w:fill="FFFFFF" w:themeFill="background1"/>
        <w:ind w:left="10348"/>
        <w:contextualSpacing/>
        <w:jc w:val="center"/>
        <w:rPr>
          <w:bCs/>
          <w:color w:val="000000" w:themeColor="text1"/>
          <w:lang w:val="kk-KZ"/>
        </w:rPr>
      </w:pPr>
      <w:r w:rsidRPr="00584334">
        <w:rPr>
          <w:bCs/>
          <w:color w:val="000000" w:themeColor="text1"/>
          <w:lang w:val="kk-KZ"/>
        </w:rPr>
        <w:t>Қазақстан Республикасы Мәдениет және ақпарат министрінің</w:t>
      </w:r>
    </w:p>
    <w:p w14:paraId="6453BC8F" w14:textId="01FAF286" w:rsidR="00584334" w:rsidRPr="00584334" w:rsidRDefault="00584334" w:rsidP="00584334">
      <w:pPr>
        <w:shd w:val="clear" w:color="auto" w:fill="FFFFFF" w:themeFill="background1"/>
        <w:ind w:left="10348"/>
        <w:contextualSpacing/>
        <w:jc w:val="center"/>
        <w:rPr>
          <w:bCs/>
          <w:color w:val="000000" w:themeColor="text1"/>
          <w:lang w:val="kk-KZ"/>
        </w:rPr>
      </w:pPr>
      <w:r w:rsidRPr="00584334">
        <w:rPr>
          <w:bCs/>
          <w:color w:val="000000" w:themeColor="text1"/>
          <w:lang w:val="kk-KZ"/>
        </w:rPr>
        <w:t xml:space="preserve">_______ жылғы  «___» </w:t>
      </w:r>
      <w:r w:rsidR="00D222A6">
        <w:rPr>
          <w:bCs/>
          <w:color w:val="000000" w:themeColor="text1"/>
          <w:lang w:val="kk-KZ"/>
        </w:rPr>
        <w:t>қаңтар</w:t>
      </w:r>
      <w:r w:rsidRPr="00584334">
        <w:rPr>
          <w:bCs/>
          <w:color w:val="000000" w:themeColor="text1"/>
          <w:lang w:val="kk-KZ"/>
        </w:rPr>
        <w:t xml:space="preserve">дағы </w:t>
      </w:r>
      <w:r w:rsidRPr="00584334">
        <w:rPr>
          <w:bCs/>
          <w:color w:val="000000" w:themeColor="text1"/>
          <w:lang w:val="kk-KZ"/>
        </w:rPr>
        <w:br/>
        <w:t>№ ____</w:t>
      </w:r>
    </w:p>
    <w:p w14:paraId="7B759F8C" w14:textId="77777777" w:rsidR="00584334" w:rsidRPr="00584334" w:rsidRDefault="00584334" w:rsidP="00584334">
      <w:pPr>
        <w:shd w:val="clear" w:color="auto" w:fill="FFFFFF" w:themeFill="background1"/>
        <w:ind w:left="10348"/>
        <w:contextualSpacing/>
        <w:jc w:val="center"/>
        <w:rPr>
          <w:bCs/>
          <w:color w:val="000000" w:themeColor="text1"/>
          <w:lang w:val="kk-KZ"/>
        </w:rPr>
      </w:pPr>
      <w:r w:rsidRPr="00584334">
        <w:rPr>
          <w:bCs/>
          <w:color w:val="000000" w:themeColor="text1"/>
          <w:lang w:val="kk-KZ"/>
        </w:rPr>
        <w:t>бұйрығымен бекітілген</w:t>
      </w:r>
    </w:p>
    <w:p w14:paraId="6A76C9C0" w14:textId="77777777" w:rsidR="00584334" w:rsidRPr="00584334" w:rsidRDefault="00584334" w:rsidP="00584334">
      <w:pPr>
        <w:pStyle w:val="3"/>
        <w:spacing w:before="0" w:after="0"/>
        <w:contextualSpacing/>
        <w:rPr>
          <w:sz w:val="24"/>
          <w:szCs w:val="24"/>
          <w:lang w:val="kk-KZ"/>
        </w:rPr>
      </w:pPr>
    </w:p>
    <w:p w14:paraId="6A26A962" w14:textId="64104E0D" w:rsidR="00584334" w:rsidRPr="00584334" w:rsidRDefault="00BA35A4" w:rsidP="00584334">
      <w:pPr>
        <w:jc w:val="center"/>
        <w:rPr>
          <w:lang w:val="kk-KZ"/>
        </w:rPr>
      </w:pPr>
      <w:r>
        <w:rPr>
          <w:b/>
          <w:bCs/>
          <w:lang w:val="kk-KZ"/>
        </w:rPr>
        <w:t>Ү</w:t>
      </w:r>
      <w:r w:rsidRPr="00584334">
        <w:rPr>
          <w:b/>
          <w:bCs/>
          <w:lang w:val="kk-KZ"/>
        </w:rPr>
        <w:t xml:space="preserve">кіметтік </w:t>
      </w:r>
      <w:r w:rsidR="00584334" w:rsidRPr="00584334">
        <w:rPr>
          <w:b/>
          <w:bCs/>
          <w:lang w:val="kk-KZ"/>
        </w:rPr>
        <w:t>емес ұйымдарға берілетін мемлекеттік</w:t>
      </w:r>
      <w:r w:rsidR="00584334" w:rsidRPr="00584334">
        <w:rPr>
          <w:b/>
          <w:bCs/>
          <w:lang w:val="kk-KZ"/>
        </w:rPr>
        <w:br/>
        <w:t xml:space="preserve"> гранттардың басым бағыттарының</w:t>
      </w:r>
      <w:r w:rsidR="00584334" w:rsidRPr="00584334">
        <w:rPr>
          <w:b/>
          <w:lang w:val="kk-KZ"/>
        </w:rPr>
        <w:t xml:space="preserve"> </w:t>
      </w:r>
      <w:r w:rsidRPr="00584334">
        <w:rPr>
          <w:b/>
          <w:bCs/>
          <w:lang w:val="kk-KZ"/>
        </w:rPr>
        <w:t xml:space="preserve">2025 жылға арналған </w:t>
      </w:r>
      <w:r w:rsidR="00584334" w:rsidRPr="00584334">
        <w:rPr>
          <w:b/>
          <w:lang w:val="kk-KZ"/>
        </w:rPr>
        <w:t>тізбесі</w:t>
      </w:r>
    </w:p>
    <w:p w14:paraId="4853A25C" w14:textId="77777777" w:rsidR="00A81B0A" w:rsidRPr="00584334" w:rsidRDefault="00A81B0A" w:rsidP="00A81B0A">
      <w:pPr>
        <w:jc w:val="center"/>
        <w:outlineLvl w:val="2"/>
        <w:rPr>
          <w:b/>
          <w:bCs/>
          <w:lang w:val="kk-KZ"/>
        </w:rPr>
      </w:pPr>
    </w:p>
    <w:p w14:paraId="65253F25" w14:textId="77777777" w:rsidR="00AF3915" w:rsidRPr="00584334" w:rsidRDefault="00AF3915">
      <w:pPr>
        <w:pStyle w:val="3"/>
        <w:spacing w:before="0" w:after="0"/>
        <w:rPr>
          <w:b w:val="0"/>
          <w:sz w:val="24"/>
          <w:szCs w:val="24"/>
          <w:lang w:val="kk-KZ"/>
        </w:rPr>
      </w:pPr>
    </w:p>
    <w:tbl>
      <w:tblPr>
        <w:tblStyle w:val="31"/>
        <w:tblW w:w="152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3"/>
        <w:gridCol w:w="1559"/>
        <w:gridCol w:w="4394"/>
        <w:gridCol w:w="1134"/>
        <w:gridCol w:w="993"/>
        <w:gridCol w:w="3548"/>
        <w:gridCol w:w="1677"/>
      </w:tblGrid>
      <w:tr w:rsidR="00290657" w:rsidRPr="005D5509" w14:paraId="108EB7A6" w14:textId="77777777" w:rsidTr="00E9023A">
        <w:trPr>
          <w:trHeight w:val="3337"/>
          <w:jc w:val="center"/>
        </w:trPr>
        <w:tc>
          <w:tcPr>
            <w:tcW w:w="567" w:type="dxa"/>
            <w:shd w:val="clear" w:color="auto" w:fill="D0CECE"/>
            <w:vAlign w:val="center"/>
          </w:tcPr>
          <w:p w14:paraId="13F23BE6" w14:textId="77777777" w:rsidR="00290657" w:rsidRPr="00EB0F37" w:rsidRDefault="00290657" w:rsidP="00D222A6">
            <w:pPr>
              <w:rPr>
                <w:b/>
                <w:lang w:val="kk-KZ"/>
              </w:rPr>
            </w:pPr>
            <w:r w:rsidRPr="00EB0F37">
              <w:rPr>
                <w:b/>
                <w:lang w:val="kk-KZ"/>
              </w:rPr>
              <w:t>№</w:t>
            </w:r>
          </w:p>
        </w:tc>
        <w:tc>
          <w:tcPr>
            <w:tcW w:w="1413" w:type="dxa"/>
            <w:shd w:val="clear" w:color="auto" w:fill="D0CECE"/>
            <w:vAlign w:val="center"/>
          </w:tcPr>
          <w:p w14:paraId="4EF0A38C" w14:textId="77777777" w:rsidR="00290657" w:rsidRPr="00EB0F37" w:rsidRDefault="00290657" w:rsidP="00D222A6">
            <w:pPr>
              <w:rPr>
                <w:b/>
                <w:lang w:val="kk-KZ"/>
              </w:rPr>
            </w:pPr>
            <w:r w:rsidRPr="00EB0F37">
              <w:rPr>
                <w:b/>
                <w:lang w:val="kk-KZ"/>
              </w:rPr>
              <w:t>Заңның 5-бабының 1-тармағына сәйкес мемлекеттік грант беру саласы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0BF0628" w14:textId="77777777" w:rsidR="00290657" w:rsidRPr="00EB0F37" w:rsidRDefault="00290657" w:rsidP="00D222A6">
            <w:pPr>
              <w:rPr>
                <w:b/>
                <w:lang w:val="kk-KZ"/>
              </w:rPr>
            </w:pPr>
            <w:r w:rsidRPr="00EB0F37">
              <w:rPr>
                <w:b/>
                <w:lang w:val="kk-KZ"/>
              </w:rPr>
              <w:t>Мемлекеттік гранттың басым бағыты</w:t>
            </w:r>
          </w:p>
        </w:tc>
        <w:tc>
          <w:tcPr>
            <w:tcW w:w="4394" w:type="dxa"/>
            <w:shd w:val="clear" w:color="auto" w:fill="D0CECE"/>
            <w:vAlign w:val="center"/>
          </w:tcPr>
          <w:p w14:paraId="3B5BED45" w14:textId="77777777" w:rsidR="00290657" w:rsidRPr="005D5509" w:rsidRDefault="00290657" w:rsidP="00D222A6">
            <w:pPr>
              <w:rPr>
                <w:b/>
              </w:rPr>
            </w:pPr>
            <w:r w:rsidRPr="00EB0F37">
              <w:rPr>
                <w:b/>
                <w:lang w:val="kk-KZ"/>
              </w:rPr>
              <w:t>Мәселенің қысқаша сипат</w:t>
            </w:r>
            <w:r w:rsidRPr="005D5509">
              <w:rPr>
                <w:b/>
              </w:rPr>
              <w:t>тамасы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50AA4782" w14:textId="77777777" w:rsidR="00290657" w:rsidRPr="005D5509" w:rsidRDefault="00290657" w:rsidP="00D222A6">
            <w:pPr>
              <w:rPr>
                <w:b/>
              </w:rPr>
            </w:pPr>
            <w:r w:rsidRPr="005D5509">
              <w:rPr>
                <w:b/>
              </w:rPr>
              <w:t>Қаржыландыру көлемі</w:t>
            </w:r>
          </w:p>
          <w:p w14:paraId="2F862A8F" w14:textId="77777777" w:rsidR="00290657" w:rsidRPr="005D5509" w:rsidRDefault="00290657" w:rsidP="00D222A6">
            <w:pPr>
              <w:rPr>
                <w:b/>
              </w:rPr>
            </w:pPr>
            <w:r w:rsidRPr="005D5509">
              <w:rPr>
                <w:b/>
              </w:rPr>
              <w:t>(мың теңге)</w:t>
            </w:r>
          </w:p>
        </w:tc>
        <w:tc>
          <w:tcPr>
            <w:tcW w:w="993" w:type="dxa"/>
            <w:shd w:val="clear" w:color="auto" w:fill="D0CECE"/>
            <w:vAlign w:val="center"/>
          </w:tcPr>
          <w:p w14:paraId="491B6BBE" w14:textId="77777777" w:rsidR="00290657" w:rsidRPr="005D5509" w:rsidRDefault="00290657" w:rsidP="00D222A6">
            <w:pPr>
              <w:rPr>
                <w:b/>
                <w:lang w:val="kk-KZ"/>
              </w:rPr>
            </w:pPr>
            <w:r w:rsidRPr="005D5509">
              <w:rPr>
                <w:b/>
                <w:lang w:val="kk-KZ"/>
              </w:rPr>
              <w:t>Г</w:t>
            </w:r>
            <w:r w:rsidRPr="005D5509">
              <w:rPr>
                <w:b/>
              </w:rPr>
              <w:t>рант</w:t>
            </w:r>
            <w:r w:rsidRPr="005D5509">
              <w:rPr>
                <w:b/>
                <w:lang w:val="kk-KZ"/>
              </w:rPr>
              <w:t xml:space="preserve"> түрі</w:t>
            </w:r>
          </w:p>
        </w:tc>
        <w:tc>
          <w:tcPr>
            <w:tcW w:w="3548" w:type="dxa"/>
            <w:shd w:val="clear" w:color="auto" w:fill="D0CECE"/>
            <w:vAlign w:val="center"/>
          </w:tcPr>
          <w:p w14:paraId="3C012FEA" w14:textId="77777777" w:rsidR="00290657" w:rsidRPr="005D5509" w:rsidRDefault="00290657" w:rsidP="00D222A6">
            <w:pPr>
              <w:rPr>
                <w:b/>
              </w:rPr>
            </w:pPr>
            <w:r w:rsidRPr="005D5509">
              <w:rPr>
                <w:b/>
              </w:rPr>
              <w:t xml:space="preserve">Мақсатты </w:t>
            </w:r>
            <w:r w:rsidRPr="005D5509">
              <w:rPr>
                <w:b/>
                <w:lang w:val="kk-KZ"/>
              </w:rPr>
              <w:t>индикатор</w:t>
            </w:r>
          </w:p>
        </w:tc>
        <w:tc>
          <w:tcPr>
            <w:tcW w:w="1677" w:type="dxa"/>
            <w:shd w:val="clear" w:color="auto" w:fill="D0CECE"/>
            <w:vAlign w:val="center"/>
          </w:tcPr>
          <w:p w14:paraId="14980053" w14:textId="77777777" w:rsidR="00290657" w:rsidRPr="005D5509" w:rsidRDefault="00290657" w:rsidP="00D222A6">
            <w:pPr>
              <w:rPr>
                <w:b/>
              </w:rPr>
            </w:pPr>
            <w:r w:rsidRPr="005D5509">
              <w:rPr>
                <w:b/>
              </w:rPr>
              <w:t>Материалдық-техникалық базаға қойылатын талаптар</w:t>
            </w:r>
          </w:p>
          <w:p w14:paraId="26511B3D" w14:textId="77777777" w:rsidR="00290657" w:rsidRPr="005D5509" w:rsidRDefault="00290657" w:rsidP="00D222A6">
            <w:pPr>
              <w:rPr>
                <w:b/>
              </w:rPr>
            </w:pPr>
            <w:r w:rsidRPr="005D5509">
              <w:rPr>
                <w:b/>
              </w:rPr>
              <w:t>(ұзақ мерзімді гранттарды жүзеге асыру кезінде ғана белгіленеді)</w:t>
            </w:r>
          </w:p>
        </w:tc>
      </w:tr>
      <w:tr w:rsidR="00290657" w:rsidRPr="005D5509" w14:paraId="71E89F08" w14:textId="77777777" w:rsidTr="005D33DE">
        <w:trPr>
          <w:trHeight w:val="330"/>
          <w:jc w:val="center"/>
        </w:trPr>
        <w:tc>
          <w:tcPr>
            <w:tcW w:w="15285" w:type="dxa"/>
            <w:gridSpan w:val="8"/>
            <w:shd w:val="clear" w:color="auto" w:fill="auto"/>
          </w:tcPr>
          <w:p w14:paraId="4E280F87" w14:textId="77777777" w:rsidR="00290657" w:rsidRPr="005D5509" w:rsidRDefault="00290657" w:rsidP="00D222A6">
            <w:pPr>
              <w:jc w:val="center"/>
              <w:rPr>
                <w:b/>
              </w:rPr>
            </w:pPr>
            <w:r w:rsidRPr="005D5509">
              <w:rPr>
                <w:b/>
              </w:rPr>
              <w:t>Жастар және отбасы істері комитеті</w:t>
            </w:r>
          </w:p>
        </w:tc>
      </w:tr>
      <w:tr w:rsidR="00290657" w:rsidRPr="005D5509" w14:paraId="68432B38" w14:textId="77777777" w:rsidTr="00E9023A">
        <w:trPr>
          <w:trHeight w:val="3254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429F2D1" w14:textId="77777777" w:rsidR="00290657" w:rsidRPr="005D5509" w:rsidRDefault="00290657" w:rsidP="00D222A6">
            <w:r w:rsidRPr="005D5509">
              <w:t>1.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854E79C" w14:textId="77777777" w:rsidR="00290657" w:rsidRPr="005D5509" w:rsidRDefault="00290657" w:rsidP="00D222A6">
            <w:pPr>
              <w:jc w:val="center"/>
            </w:pPr>
            <w:r w:rsidRPr="005D5509">
              <w:t>Жастар саясаты мен балалар бастамаларын қолдау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46218A" w14:textId="77777777" w:rsidR="00290657" w:rsidRPr="005D5509" w:rsidRDefault="00290657" w:rsidP="00D222A6">
            <w:pPr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5D5509">
              <w:rPr>
                <w:rFonts w:eastAsia="Calibri"/>
                <w:spacing w:val="2"/>
                <w:shd w:val="clear" w:color="auto" w:fill="FFFFFF"/>
                <w:lang w:eastAsia="en-US"/>
              </w:rPr>
              <w:t>Құқық бұзушылықтар мен сыбайлас жемқорлыққа мүлдем төзбеушіліктің көрінісі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18B1E" w14:textId="608F2AF4" w:rsidR="00290657" w:rsidRPr="005D5509" w:rsidRDefault="00290657" w:rsidP="00D222A6">
            <w:pPr>
              <w:jc w:val="both"/>
            </w:pPr>
            <w:r w:rsidRPr="005D5509">
              <w:t xml:space="preserve">Бас прокуратураның Құқықтық статистика комитетінің 2024 </w:t>
            </w:r>
            <w:r w:rsidR="0094445F" w:rsidRPr="005D5509">
              <w:t>жыл</w:t>
            </w:r>
            <w:r w:rsidR="0094445F">
              <w:rPr>
                <w:lang w:val="kk-KZ"/>
              </w:rPr>
              <w:t>ғы</w:t>
            </w:r>
            <w:r w:rsidR="0094445F" w:rsidRPr="005D5509">
              <w:t xml:space="preserve"> </w:t>
            </w:r>
            <w:r w:rsidRPr="005D5509">
              <w:t xml:space="preserve">10 айының қорытындысы бойынша 14-35 жас аралығындағы жастар арасындағы құқық бұзушылықтардың саны </w:t>
            </w:r>
            <w:r w:rsidRPr="005D5509">
              <w:rPr>
                <w:b/>
              </w:rPr>
              <w:t>22700</w:t>
            </w:r>
            <w:r w:rsidRPr="005D5509">
              <w:t xml:space="preserve">-ді құраса, оның </w:t>
            </w:r>
            <w:r w:rsidRPr="005D5509">
              <w:rPr>
                <w:b/>
              </w:rPr>
              <w:t>1254</w:t>
            </w:r>
            <w:r w:rsidRPr="005D5509">
              <w:t>-і кәмелетке толмағандар тарапынан жасалған (яғни, 55,3%). 14-35 жас аралығындағы жастар арасындағы құқық бұзушылықтардың жалпы саны).</w:t>
            </w:r>
          </w:p>
          <w:p w14:paraId="39C2CB86" w14:textId="3A0C7F33" w:rsidR="00290657" w:rsidRPr="005D5509" w:rsidRDefault="00290657" w:rsidP="00D222A6">
            <w:pPr>
              <w:jc w:val="both"/>
            </w:pPr>
            <w:r w:rsidRPr="005D5509">
              <w:t xml:space="preserve">Құқық бұзушылықтың ең көп саны Алматы (3 833 құқық бұзушылық), Астана (2 709 құқық бұзушылық) және </w:t>
            </w:r>
            <w:r w:rsidRPr="005D5509">
              <w:lastRenderedPageBreak/>
              <w:t>Шымкент (1 233 құқық бұзушылық) қалаларында тіркелді. Ең аз құқық бұзушылық Абай (515 құқық бұзушылық), облыс</w:t>
            </w:r>
            <w:r w:rsidR="00BA35A4">
              <w:rPr>
                <w:lang w:val="kk-KZ"/>
              </w:rPr>
              <w:t>ында,</w:t>
            </w:r>
            <w:r w:rsidRPr="005D5509">
              <w:t xml:space="preserve"> Ұлытау (252 құқық бұзушылық), Қызылорда облыс</w:t>
            </w:r>
            <w:r w:rsidR="00BA35A4">
              <w:rPr>
                <w:lang w:val="kk-KZ"/>
              </w:rPr>
              <w:t>тарында</w:t>
            </w:r>
            <w:r w:rsidRPr="005D5509">
              <w:t xml:space="preserve"> (604 құқық бұзушылық)</w:t>
            </w:r>
            <w:r w:rsidR="00BA35A4">
              <w:rPr>
                <w:lang w:val="kk-KZ"/>
              </w:rPr>
              <w:t xml:space="preserve"> тіркелген</w:t>
            </w:r>
            <w:r w:rsidRPr="005D5509">
              <w:t>.</w:t>
            </w:r>
          </w:p>
          <w:p w14:paraId="0106B46B" w14:textId="77777777" w:rsidR="00290657" w:rsidRPr="005D5509" w:rsidRDefault="00290657" w:rsidP="00D222A6">
            <w:pPr>
              <w:jc w:val="both"/>
            </w:pPr>
            <w:r w:rsidRPr="005D5509">
              <w:t>Сыбайлас жемқорлыққа мүлдем төзбеушіліктің көрінісі қазіргі қоғам өмірінің ажырамас бөлігі болып табылады.</w:t>
            </w:r>
          </w:p>
          <w:p w14:paraId="79440D16" w14:textId="77777777" w:rsidR="00290657" w:rsidRPr="005D5509" w:rsidRDefault="00290657" w:rsidP="00D222A6">
            <w:pPr>
              <w:jc w:val="both"/>
            </w:pPr>
            <w:r w:rsidRPr="005D5509">
              <w:t>Сыбайлас жемқорлықпен ымырасыз күресу – мемлекеттік саясаттың негізгі бағыттарының бірі. Заң үстемдігін орнату, құқықтық мемлекет құру және халықтың өмір сүру деңгейін көтеру үшін сыбайлас жемқорлыққа төзбеушілік таныту қажет.</w:t>
            </w:r>
          </w:p>
          <w:p w14:paraId="42B7093E" w14:textId="0C788F76" w:rsidR="00290657" w:rsidRPr="005D5509" w:rsidRDefault="00290657" w:rsidP="00D222A6">
            <w:pPr>
              <w:jc w:val="both"/>
            </w:pPr>
            <w:r w:rsidRPr="005D5509">
              <w:t xml:space="preserve">Ұлттық деңгейде 2022 жылы «Қазақстан Республикасының сыбайлас жемқорлыққа қарсы саясатының </w:t>
            </w:r>
            <w:r w:rsidR="0094445F" w:rsidRPr="005D5509">
              <w:t xml:space="preserve">2022 - 2026 жылдарға арналған </w:t>
            </w:r>
            <w:r w:rsidRPr="005D5509">
              <w:t>тұжырымдамасы» қабылданды.</w:t>
            </w:r>
          </w:p>
          <w:p w14:paraId="02EA6578" w14:textId="082463BC" w:rsidR="00290657" w:rsidRPr="005D5509" w:rsidRDefault="0094445F" w:rsidP="00D222A6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kk-KZ"/>
              </w:rPr>
              <w:t>Бұл ретте</w:t>
            </w:r>
            <w:r w:rsidR="00290657" w:rsidRPr="005D5509">
              <w:t xml:space="preserve"> қоғамдық қатынастар жүйесіндегі өзгерістерді іске асырудың құқықтық негізін жасау өскелең ұрпақ арасында заңды құрметтеу және сыбайлас жемқорлыққа қарсы құндылықтарды насихаттауды ынталандырмайынша үлкен оң нәтиже бермейді.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C06D95" w14:textId="7712C9CF" w:rsidR="00290657" w:rsidRPr="005D5509" w:rsidRDefault="00290657" w:rsidP="00D222A6">
            <w:pPr>
              <w:jc w:val="center"/>
            </w:pPr>
            <w:r w:rsidRPr="005D5509">
              <w:lastRenderedPageBreak/>
              <w:t xml:space="preserve">2025 </w:t>
            </w:r>
            <w:proofErr w:type="gramStart"/>
            <w:r w:rsidR="009B7178">
              <w:t xml:space="preserve">жыл </w:t>
            </w:r>
            <w:r w:rsidRPr="005D5509">
              <w:t xml:space="preserve"> -</w:t>
            </w:r>
            <w:proofErr w:type="gramEnd"/>
          </w:p>
          <w:p w14:paraId="0F38BEE1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40 000 </w:t>
            </w:r>
            <w:r w:rsidRPr="005D5509">
              <w:rPr>
                <w:bCs/>
                <w:lang w:val="kk-KZ"/>
              </w:rPr>
              <w:t xml:space="preserve">мың </w:t>
            </w:r>
            <w:r w:rsidRPr="005D5509">
              <w:rPr>
                <w:bCs/>
              </w:rPr>
              <w:t>тг;</w:t>
            </w:r>
          </w:p>
          <w:p w14:paraId="0EFF77BC" w14:textId="77777777" w:rsidR="00290657" w:rsidRPr="005D5509" w:rsidRDefault="00290657" w:rsidP="00D222A6">
            <w:pPr>
              <w:jc w:val="center"/>
            </w:pPr>
          </w:p>
          <w:p w14:paraId="79A13166" w14:textId="26D4F1FA" w:rsidR="00290657" w:rsidRPr="005D5509" w:rsidRDefault="00290657" w:rsidP="00D222A6">
            <w:pPr>
              <w:jc w:val="center"/>
            </w:pPr>
            <w:r w:rsidRPr="005D5509">
              <w:t xml:space="preserve">2026 </w:t>
            </w:r>
            <w:r w:rsidR="009B7178">
              <w:t xml:space="preserve">жыл </w:t>
            </w:r>
            <w:r w:rsidRPr="005D5509">
              <w:t xml:space="preserve"> -</w:t>
            </w:r>
          </w:p>
          <w:p w14:paraId="37F1088C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40 000 </w:t>
            </w:r>
            <w:r w:rsidRPr="005D5509">
              <w:rPr>
                <w:bCs/>
              </w:rPr>
              <w:t>мың тг;</w:t>
            </w:r>
          </w:p>
          <w:p w14:paraId="34E1AB51" w14:textId="77777777" w:rsidR="00290657" w:rsidRPr="005D5509" w:rsidRDefault="00290657" w:rsidP="00D222A6">
            <w:pPr>
              <w:jc w:val="center"/>
            </w:pPr>
          </w:p>
          <w:p w14:paraId="50760EB4" w14:textId="5253CD53" w:rsidR="00290657" w:rsidRPr="005D5509" w:rsidRDefault="00290657" w:rsidP="00D222A6">
            <w:pPr>
              <w:jc w:val="center"/>
            </w:pPr>
            <w:r w:rsidRPr="005D5509">
              <w:t xml:space="preserve">2027 </w:t>
            </w:r>
            <w:r w:rsidR="009B7178">
              <w:t xml:space="preserve">жыл </w:t>
            </w:r>
            <w:r w:rsidRPr="005D5509">
              <w:t xml:space="preserve"> -</w:t>
            </w:r>
          </w:p>
          <w:p w14:paraId="5C1EE5C8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lastRenderedPageBreak/>
              <w:t xml:space="preserve">40 000 </w:t>
            </w:r>
            <w:r w:rsidRPr="005D5509">
              <w:rPr>
                <w:bCs/>
              </w:rPr>
              <w:t>мың тг</w:t>
            </w:r>
          </w:p>
          <w:p w14:paraId="2862140E" w14:textId="77777777" w:rsidR="00290657" w:rsidRPr="005D5509" w:rsidRDefault="00290657" w:rsidP="00D222A6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5A8343A" w14:textId="77777777" w:rsidR="00290657" w:rsidRPr="005D5509" w:rsidRDefault="00290657" w:rsidP="00D222A6">
            <w:pPr>
              <w:jc w:val="center"/>
            </w:pPr>
            <w:r w:rsidRPr="005D5509">
              <w:lastRenderedPageBreak/>
              <w:t>1 ұзақ мерзімді грант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E8786D" w14:textId="73F8CA42" w:rsidR="00290657" w:rsidRPr="005D5509" w:rsidRDefault="009B7178" w:rsidP="00D222A6">
            <w:pPr>
              <w:jc w:val="both"/>
              <w:rPr>
                <w:b/>
              </w:rPr>
            </w:pPr>
            <w:r>
              <w:rPr>
                <w:b/>
              </w:rPr>
              <w:t xml:space="preserve">Нысаналы </w:t>
            </w:r>
            <w:r w:rsidR="00290657" w:rsidRPr="005D5509">
              <w:rPr>
                <w:b/>
              </w:rPr>
              <w:t>индикаторлар:</w:t>
            </w:r>
          </w:p>
          <w:p w14:paraId="6160C1E4" w14:textId="77777777" w:rsidR="00290657" w:rsidRPr="005D5509" w:rsidRDefault="00290657" w:rsidP="00D222A6">
            <w:pPr>
              <w:jc w:val="both"/>
            </w:pPr>
            <w:r w:rsidRPr="005D5509">
              <w:t>1) құқықтық сауаттылықтың жоғары деңгейін көрсететін қатысушылардың үлесі – базалық (</w:t>
            </w:r>
            <w:r w:rsidRPr="005D5509">
              <w:rPr>
                <w:lang w:val="kk-KZ"/>
              </w:rPr>
              <w:t>бастапқы</w:t>
            </w:r>
            <w:r w:rsidRPr="005D5509">
              <w:t xml:space="preserve">) деңгейден бағдарлама/жоба кезеңін аяқтағанға дейін арттыру (тестілеу нәтижелері бойынша) – </w:t>
            </w:r>
            <w:r w:rsidRPr="005D5509">
              <w:rPr>
                <w:b/>
              </w:rPr>
              <w:t>жыл сайын кемінде 25%;</w:t>
            </w:r>
          </w:p>
          <w:p w14:paraId="57FB2EEE" w14:textId="77777777" w:rsidR="00290657" w:rsidRPr="005D5509" w:rsidRDefault="00290657" w:rsidP="00D222A6">
            <w:pPr>
              <w:jc w:val="both"/>
            </w:pPr>
            <w:r w:rsidRPr="005D5509">
              <w:t xml:space="preserve">2) құқықтық білім беру бойынша оқу қызметін (тренингтер, семинарлар, </w:t>
            </w:r>
            <w:r w:rsidRPr="005D5509">
              <w:lastRenderedPageBreak/>
              <w:t xml:space="preserve">курстар) аяқтаған жастардың саны – </w:t>
            </w:r>
            <w:r w:rsidRPr="005D5509">
              <w:rPr>
                <w:b/>
              </w:rPr>
              <w:t>кемінде 10 мың адам</w:t>
            </w:r>
            <w:r w:rsidRPr="005D5509">
              <w:t>;</w:t>
            </w:r>
          </w:p>
          <w:p w14:paraId="5A4437E7" w14:textId="2A742F67" w:rsidR="00290657" w:rsidRPr="005D5509" w:rsidRDefault="00290657" w:rsidP="00D222A6">
            <w:pPr>
              <w:jc w:val="both"/>
            </w:pPr>
            <w:r w:rsidRPr="005D5509">
              <w:t>3) білім беру ұйымдарында, ювеналдық полиция</w:t>
            </w:r>
            <w:r w:rsidR="001E02B6">
              <w:rPr>
                <w:lang w:val="kk-KZ"/>
              </w:rPr>
              <w:t xml:space="preserve">да </w:t>
            </w:r>
            <w:r w:rsidRPr="005D5509">
              <w:t>арнайы есепте тұрған жасөспірімдер</w:t>
            </w:r>
            <w:r w:rsidRPr="005D5509">
              <w:rPr>
                <w:lang w:val="kk-KZ"/>
              </w:rPr>
              <w:t xml:space="preserve"> мен</w:t>
            </w:r>
            <w:r w:rsidRPr="005D5509">
              <w:t xml:space="preserve"> ұйымдаспаған жастар арасынан жобаның мақсатты аудиториясының үлесі –</w:t>
            </w:r>
            <w:r w:rsidRPr="005D5509">
              <w:rPr>
                <w:b/>
              </w:rPr>
              <w:t>кемінде 1/3 бөлігі</w:t>
            </w:r>
            <w:r w:rsidRPr="005D5509">
              <w:t>;</w:t>
            </w:r>
          </w:p>
          <w:p w14:paraId="062171C9" w14:textId="77777777" w:rsidR="00290657" w:rsidRPr="005D5509" w:rsidRDefault="00290657" w:rsidP="00D222A6">
            <w:pPr>
              <w:jc w:val="both"/>
            </w:pPr>
            <w:r w:rsidRPr="005D5509">
              <w:t>4) білім беру ұйымдарында, ювеналдық полиция органдарында арнайы есепте тұрған жасөспірімдер</w:t>
            </w:r>
            <w:r w:rsidRPr="005D5509">
              <w:rPr>
                <w:lang w:val="kk-KZ"/>
              </w:rPr>
              <w:t xml:space="preserve"> </w:t>
            </w:r>
            <w:r w:rsidRPr="005D5509">
              <w:t xml:space="preserve">мен ұйымдаспаған жастармен </w:t>
            </w:r>
            <w:r w:rsidRPr="005D5509">
              <w:rPr>
                <w:lang w:val="kk-KZ"/>
              </w:rPr>
              <w:t>атаулы</w:t>
            </w:r>
            <w:r w:rsidRPr="005D5509">
              <w:t xml:space="preserve"> жұмысты ұйымдастыру мақсатында жастармен жұмыс жөніндегі мамандарды даярлау және олардың біліктілігін арттыру –</w:t>
            </w:r>
            <w:r w:rsidRPr="005D5509">
              <w:rPr>
                <w:b/>
              </w:rPr>
              <w:t>кемінде 100 адам</w:t>
            </w:r>
            <w:r w:rsidRPr="005D5509">
              <w:t>;</w:t>
            </w:r>
          </w:p>
          <w:p w14:paraId="4C16EFD4" w14:textId="049988DD" w:rsidR="00290657" w:rsidRPr="005D5509" w:rsidRDefault="00290657" w:rsidP="00D222A6">
            <w:pPr>
              <w:jc w:val="both"/>
            </w:pPr>
            <w:r w:rsidRPr="005D5509">
              <w:t xml:space="preserve">5) </w:t>
            </w:r>
            <w:r w:rsidRPr="005D5509">
              <w:rPr>
                <w:b/>
              </w:rPr>
              <w:t xml:space="preserve">жалпы саны  </w:t>
            </w:r>
            <w:r w:rsidR="0094445F">
              <w:rPr>
                <w:b/>
                <w:lang w:val="kk-KZ"/>
              </w:rPr>
              <w:t xml:space="preserve">кемінде </w:t>
            </w:r>
            <w:r w:rsidRPr="005D5509">
              <w:rPr>
                <w:b/>
                <w:lang w:val="kk-KZ"/>
              </w:rPr>
              <w:t>200</w:t>
            </w:r>
            <w:r w:rsidRPr="005D5509">
              <w:t xml:space="preserve"> адам</w:t>
            </w:r>
            <w:r w:rsidR="0094445F">
              <w:rPr>
                <w:lang w:val="kk-KZ"/>
              </w:rPr>
              <w:t>ды қамтитын м</w:t>
            </w:r>
            <w:r w:rsidR="0094445F" w:rsidRPr="005D5509">
              <w:rPr>
                <w:lang w:val="kk-KZ"/>
              </w:rPr>
              <w:t xml:space="preserve">емлекеттік </w:t>
            </w:r>
            <w:r w:rsidRPr="005D5509">
              <w:rPr>
                <w:lang w:val="kk-KZ"/>
              </w:rPr>
              <w:t>жастар саясаты саласында</w:t>
            </w:r>
            <w:r w:rsidR="0094445F">
              <w:rPr>
                <w:lang w:val="kk-KZ"/>
              </w:rPr>
              <w:t>, сондай-ақ</w:t>
            </w:r>
            <w:r w:rsidRPr="005D5509">
              <w:rPr>
                <w:lang w:val="kk-KZ"/>
              </w:rPr>
              <w:t xml:space="preserve"> </w:t>
            </w:r>
            <w:r w:rsidR="003D3CE6">
              <w:rPr>
                <w:lang w:val="kk-KZ"/>
              </w:rPr>
              <w:t xml:space="preserve">жастар арасында </w:t>
            </w:r>
            <w:r w:rsidRPr="005D5509">
              <w:rPr>
                <w:lang w:val="kk-KZ"/>
              </w:rPr>
              <w:t>құқықбұзушылықты</w:t>
            </w:r>
            <w:r w:rsidR="003D3CE6">
              <w:rPr>
                <w:lang w:val="kk-KZ"/>
              </w:rPr>
              <w:t>ң</w:t>
            </w:r>
            <w:r w:rsidRPr="005D5509">
              <w:rPr>
                <w:lang w:val="kk-KZ"/>
              </w:rPr>
              <w:t xml:space="preserve"> </w:t>
            </w:r>
            <w:r w:rsidR="003D3CE6">
              <w:rPr>
                <w:lang w:val="kk-KZ"/>
              </w:rPr>
              <w:t xml:space="preserve">және </w:t>
            </w:r>
            <w:r w:rsidRPr="005D5509">
              <w:rPr>
                <w:lang w:val="kk-KZ"/>
              </w:rPr>
              <w:t>криминализация</w:t>
            </w:r>
            <w:r w:rsidR="003D3CE6">
              <w:rPr>
                <w:lang w:val="kk-KZ"/>
              </w:rPr>
              <w:t>ның</w:t>
            </w:r>
            <w:r w:rsidRPr="005D5509">
              <w:t xml:space="preserve"> </w:t>
            </w:r>
            <w:r w:rsidR="003D3CE6">
              <w:rPr>
                <w:lang w:val="kk-KZ"/>
              </w:rPr>
              <w:t xml:space="preserve">алдын алу </w:t>
            </w:r>
            <w:r w:rsidRPr="005D5509">
              <w:t>және басқа да заманауи сын-қатерлер</w:t>
            </w:r>
            <w:r w:rsidR="003D3CE6">
              <w:rPr>
                <w:lang w:val="kk-KZ"/>
              </w:rPr>
              <w:t xml:space="preserve"> мәселелеріне</w:t>
            </w:r>
            <w:r w:rsidRPr="005D5509">
              <w:t xml:space="preserve"> арналған ШЫ</w:t>
            </w:r>
            <w:r w:rsidRPr="005D5509">
              <w:rPr>
                <w:lang w:val="kk-KZ"/>
              </w:rPr>
              <w:t xml:space="preserve">Ұ- ның </w:t>
            </w:r>
            <w:r w:rsidRPr="005D5509">
              <w:t>жастар көшбасшылары</w:t>
            </w:r>
            <w:r w:rsidR="003D3CE6">
              <w:rPr>
                <w:lang w:val="kk-KZ"/>
              </w:rPr>
              <w:t xml:space="preserve"> </w:t>
            </w:r>
            <w:r w:rsidRPr="005D5509">
              <w:t>өкілдерінің қатысуымен</w:t>
            </w:r>
            <w:r w:rsidRPr="005D5509">
              <w:rPr>
                <w:b/>
              </w:rPr>
              <w:t xml:space="preserve"> </w:t>
            </w:r>
            <w:r w:rsidRPr="005D5509">
              <w:rPr>
                <w:b/>
                <w:lang w:val="kk-KZ"/>
              </w:rPr>
              <w:t>1</w:t>
            </w:r>
            <w:r w:rsidRPr="005D5509">
              <w:t xml:space="preserve"> халықаралық форум/конференция ұйымдастыру және өткізу;</w:t>
            </w:r>
          </w:p>
          <w:p w14:paraId="26FB809E" w14:textId="77777777" w:rsidR="00290657" w:rsidRPr="005D5509" w:rsidRDefault="00290657" w:rsidP="00D222A6">
            <w:pPr>
              <w:jc w:val="both"/>
            </w:pPr>
            <w:r w:rsidRPr="005D5509">
              <w:rPr>
                <w:lang w:val="kk-KZ"/>
              </w:rPr>
              <w:lastRenderedPageBreak/>
              <w:t>6</w:t>
            </w:r>
            <w:r w:rsidRPr="005D5509">
              <w:t>) ақпараттық материалдарды жалпы қамту (бейне форматтағы әлеуметтік жарнама) –</w:t>
            </w:r>
            <w:r w:rsidRPr="005D5509">
              <w:rPr>
                <w:b/>
              </w:rPr>
              <w:t xml:space="preserve">кемінде </w:t>
            </w:r>
            <w:r w:rsidRPr="005D5509">
              <w:rPr>
                <w:b/>
                <w:lang w:val="kk-KZ"/>
              </w:rPr>
              <w:t>500,0 мың</w:t>
            </w:r>
            <w:r w:rsidRPr="005D5509">
              <w:rPr>
                <w:b/>
              </w:rPr>
              <w:t xml:space="preserve"> қаралым</w:t>
            </w:r>
            <w:r w:rsidRPr="005D5509">
              <w:t>;</w:t>
            </w:r>
          </w:p>
          <w:p w14:paraId="1981F6C2" w14:textId="36F0D231" w:rsidR="00290657" w:rsidRPr="005D5509" w:rsidRDefault="00290657" w:rsidP="00D222A6">
            <w:pPr>
              <w:jc w:val="both"/>
            </w:pPr>
            <w:r w:rsidRPr="005D5509">
              <w:rPr>
                <w:lang w:val="kk-KZ"/>
              </w:rPr>
              <w:t>7</w:t>
            </w:r>
            <w:r w:rsidRPr="005D5509">
              <w:t xml:space="preserve">) </w:t>
            </w:r>
            <w:r w:rsidR="003D3CE6">
              <w:rPr>
                <w:lang w:val="kk-KZ"/>
              </w:rPr>
              <w:t xml:space="preserve">қатысушылар жасаған </w:t>
            </w:r>
            <w:r w:rsidRPr="005D5509">
              <w:t xml:space="preserve">құқық бұзушылықтың алдын алуға және жастар арасында сыбайлас жемқорлыққа қарсы сананы қалыптастыруға бағытталған бастамалар саны – </w:t>
            </w:r>
            <w:r w:rsidRPr="005D5509">
              <w:rPr>
                <w:b/>
              </w:rPr>
              <w:t xml:space="preserve">жыл сайын кемінде </w:t>
            </w:r>
            <w:r w:rsidRPr="005D5509">
              <w:rPr>
                <w:b/>
                <w:lang w:val="kk-KZ"/>
              </w:rPr>
              <w:t>5</w:t>
            </w:r>
            <w:r w:rsidRPr="005D5509">
              <w:t>;</w:t>
            </w:r>
          </w:p>
          <w:p w14:paraId="29E41D49" w14:textId="0C6FF94C" w:rsidR="00290657" w:rsidRPr="005D5509" w:rsidRDefault="00290657" w:rsidP="00D222A6">
            <w:pPr>
              <w:jc w:val="both"/>
            </w:pPr>
            <w:r w:rsidRPr="005D5509">
              <w:rPr>
                <w:lang w:val="kk-KZ"/>
              </w:rPr>
              <w:t>8</w:t>
            </w:r>
            <w:r w:rsidRPr="005D5509">
              <w:t xml:space="preserve">) қылмысқа және сыбайлас жемқорлыққа төзбеушілікті көрсететін қатысушылардың үлесі (сауалнама нәтижелері бойынша) – </w:t>
            </w:r>
            <w:r w:rsidRPr="005D5509">
              <w:rPr>
                <w:b/>
              </w:rPr>
              <w:t xml:space="preserve">жыл сайын, </w:t>
            </w:r>
            <w:r w:rsidR="0077103D">
              <w:rPr>
                <w:b/>
                <w:lang w:val="kk-KZ"/>
              </w:rPr>
              <w:t xml:space="preserve">кемінде </w:t>
            </w:r>
            <w:r w:rsidRPr="005D5509">
              <w:rPr>
                <w:b/>
              </w:rPr>
              <w:t>60 %</w:t>
            </w:r>
            <w:r w:rsidRPr="005D5509">
              <w:t>;</w:t>
            </w:r>
          </w:p>
          <w:p w14:paraId="2F4444D3" w14:textId="3CFF8DE5" w:rsidR="00290657" w:rsidRPr="005D5509" w:rsidRDefault="00290657" w:rsidP="00D222A6">
            <w:pPr>
              <w:jc w:val="both"/>
            </w:pPr>
            <w:r w:rsidRPr="005D5509">
              <w:rPr>
                <w:lang w:val="kk-KZ"/>
              </w:rPr>
              <w:t>9</w:t>
            </w:r>
            <w:r w:rsidRPr="005D5509">
              <w:t>) құқықтық сауаттылық деңгейін арттыру – құқық бұзушылықтың салдары туралы хабардар қатысушылардың үлесін арттыру</w:t>
            </w:r>
            <w:r w:rsidRPr="005D5509">
              <w:rPr>
                <w:lang w:val="kk-KZ"/>
              </w:rPr>
              <w:t xml:space="preserve"> </w:t>
            </w:r>
            <w:r w:rsidRPr="005D5509">
              <w:t>(сауалнама нәтижелері бойынша)</w:t>
            </w:r>
            <w:r w:rsidRPr="005D5509">
              <w:rPr>
                <w:lang w:val="kk-KZ"/>
              </w:rPr>
              <w:t xml:space="preserve"> –</w:t>
            </w:r>
            <w:r w:rsidRPr="005D5509">
              <w:rPr>
                <w:b/>
              </w:rPr>
              <w:t>кемінде 70</w:t>
            </w:r>
            <w:r w:rsidRPr="005D5509">
              <w:rPr>
                <w:b/>
                <w:lang w:val="kk-KZ"/>
              </w:rPr>
              <w:t xml:space="preserve"> </w:t>
            </w:r>
            <w:r w:rsidRPr="005D5509">
              <w:rPr>
                <w:b/>
              </w:rPr>
              <w:t>%</w:t>
            </w:r>
            <w:r w:rsidRPr="005D5509">
              <w:rPr>
                <w:b/>
                <w:lang w:val="kk-KZ"/>
              </w:rPr>
              <w:t xml:space="preserve">, </w:t>
            </w:r>
            <w:r w:rsidRPr="005D5509">
              <w:rPr>
                <w:b/>
              </w:rPr>
              <w:t>жыл сайын;</w:t>
            </w:r>
          </w:p>
          <w:p w14:paraId="69111B2E" w14:textId="77777777" w:rsidR="00290657" w:rsidRPr="005D5509" w:rsidRDefault="00290657" w:rsidP="00D222A6">
            <w:pPr>
              <w:jc w:val="both"/>
            </w:pPr>
            <w:r w:rsidRPr="005D5509">
              <w:t>1</w:t>
            </w:r>
            <w:r w:rsidRPr="005D5509">
              <w:rPr>
                <w:lang w:val="kk-KZ"/>
              </w:rPr>
              <w:t>0</w:t>
            </w:r>
            <w:r w:rsidRPr="005D5509">
              <w:t xml:space="preserve">) жобаның жастардың құқықтық мәдениетіне әсерін оң бағалайтын қатысушылардың үлесі (сауалнама нәтижелері бойынша) </w:t>
            </w:r>
            <w:r w:rsidRPr="005D5509">
              <w:rPr>
                <w:b/>
              </w:rPr>
              <w:t>–</w:t>
            </w:r>
            <w:r w:rsidRPr="005D5509">
              <w:rPr>
                <w:b/>
                <w:lang w:val="kk-KZ"/>
              </w:rPr>
              <w:t xml:space="preserve"> </w:t>
            </w:r>
            <w:r w:rsidRPr="005D5509">
              <w:rPr>
                <w:b/>
              </w:rPr>
              <w:t>70 %</w:t>
            </w:r>
            <w:r w:rsidRPr="005D5509">
              <w:rPr>
                <w:b/>
                <w:lang w:val="kk-KZ"/>
              </w:rPr>
              <w:t>-дан кем емес</w:t>
            </w:r>
            <w:r w:rsidRPr="005D5509">
              <w:rPr>
                <w:b/>
              </w:rPr>
              <w:t>, жыл сайын</w:t>
            </w:r>
            <w:r w:rsidRPr="005D5509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. </w:t>
            </w:r>
            <w:r w:rsidRPr="005D550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504CAD52" w14:textId="77777777" w:rsidR="00290657" w:rsidRPr="005D5509" w:rsidRDefault="00290657" w:rsidP="00D222A6">
            <w:pPr>
              <w:jc w:val="both"/>
            </w:pPr>
            <w:r w:rsidRPr="005D5509">
              <w:lastRenderedPageBreak/>
              <w:t>Жиһазбен бірге кемінде 30 ш.м кеңсе немесе жалға алынған үй-жайдың болуы;</w:t>
            </w:r>
          </w:p>
          <w:p w14:paraId="28A1F510" w14:textId="77777777" w:rsidR="00290657" w:rsidRPr="005D5509" w:rsidRDefault="00290657" w:rsidP="00D222A6">
            <w:pPr>
              <w:jc w:val="both"/>
            </w:pPr>
            <w:r w:rsidRPr="005D5509">
              <w:t xml:space="preserve">компьютерлер кемінде 3 дана, ақ-қара принтер 1 дана, фотокамера 1 </w:t>
            </w:r>
            <w:r w:rsidRPr="005D5509">
              <w:lastRenderedPageBreak/>
              <w:t>дана, бейнекамера 1 дана;</w:t>
            </w:r>
          </w:p>
        </w:tc>
      </w:tr>
      <w:tr w:rsidR="00290657" w:rsidRPr="005D5509" w14:paraId="0B3DEF22" w14:textId="77777777" w:rsidTr="00E9023A">
        <w:trPr>
          <w:trHeight w:val="89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FD53" w14:textId="77777777" w:rsidR="00290657" w:rsidRPr="005D5509" w:rsidRDefault="00290657" w:rsidP="00D222A6">
            <w:r w:rsidRPr="005D5509">
              <w:lastRenderedPageBreak/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E44" w14:textId="77777777" w:rsidR="00290657" w:rsidRPr="005D5509" w:rsidRDefault="00290657" w:rsidP="00D222A6">
            <w:pPr>
              <w:jc w:val="center"/>
            </w:pPr>
            <w:r w:rsidRPr="005D5509">
              <w:t>Жастар саясаты мен балалар бастамаларын қолдау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5CF2" w14:textId="32F36C33" w:rsidR="00290657" w:rsidRPr="005D5509" w:rsidRDefault="00290657" w:rsidP="00D222A6">
            <w:pPr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5D5509">
              <w:t xml:space="preserve">Қаржылық сауаттылықты арттыру және жастардың </w:t>
            </w:r>
            <w:r w:rsidR="00AE2724">
              <w:rPr>
                <w:lang w:val="kk-KZ"/>
              </w:rPr>
              <w:t>кредитке шамадан тыс жүктелу</w:t>
            </w:r>
            <w:r w:rsidR="00AE2724" w:rsidRPr="005D5509">
              <w:t xml:space="preserve"> </w:t>
            </w:r>
            <w:r w:rsidRPr="005D5509">
              <w:t>деңгейін төмендетудің алдын алу</w:t>
            </w:r>
            <w:r w:rsidRPr="005D5509">
              <w:rPr>
                <w:rFonts w:eastAsia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18C5F" w14:textId="26DC1DDD" w:rsidR="00290657" w:rsidRPr="005D5509" w:rsidRDefault="00AE2724" w:rsidP="00D222A6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kk-KZ"/>
              </w:rPr>
              <w:t>Қ</w:t>
            </w:r>
            <w:r w:rsidRPr="005D5509">
              <w:t xml:space="preserve">азіргі экономикалық жағдайда </w:t>
            </w:r>
            <w:r>
              <w:rPr>
                <w:lang w:val="kk-KZ"/>
              </w:rPr>
              <w:t>қ</w:t>
            </w:r>
            <w:r w:rsidRPr="005D5509">
              <w:t xml:space="preserve">азақстандық </w:t>
            </w:r>
            <w:r w:rsidR="00290657" w:rsidRPr="005D5509">
              <w:t xml:space="preserve">жастардың қаржылық сауаттылығын арттыру және </w:t>
            </w:r>
            <w:r>
              <w:rPr>
                <w:lang w:val="kk-KZ"/>
              </w:rPr>
              <w:t xml:space="preserve">кредитке шамадан тыс жүктелу деңгейін </w:t>
            </w:r>
            <w:r w:rsidR="00290657" w:rsidRPr="005D5509">
              <w:t>төмендету</w:t>
            </w:r>
            <w:r>
              <w:rPr>
                <w:lang w:val="kk-KZ"/>
              </w:rPr>
              <w:t>дің алдын алу</w:t>
            </w:r>
            <w:r w:rsidR="00290657" w:rsidRPr="005D5509">
              <w:t xml:space="preserve"> шаралары  жобасы өте маңызды. Бүгінгі таңда жастардың қаржылық сауаттылығы олардың болашақ қаржылық өзін-өзі тануында және әл-ауқатында маңызды рөл атқарады. Жастар арасындағы </w:t>
            </w:r>
            <w:r w:rsidR="008D184E">
              <w:rPr>
                <w:lang w:val="kk-KZ"/>
              </w:rPr>
              <w:t xml:space="preserve">кредитке шамадан тыс жүктелу </w:t>
            </w:r>
            <w:r w:rsidR="00290657" w:rsidRPr="005D5509">
              <w:t xml:space="preserve">деңгейі оларды ауыр қарыздық жүкпен қалдырып, жеке және </w:t>
            </w:r>
            <w:r w:rsidR="008D184E" w:rsidRPr="005D5509">
              <w:t>қаржыл</w:t>
            </w:r>
            <w:r w:rsidR="008D184E">
              <w:rPr>
                <w:lang w:val="kk-KZ"/>
              </w:rPr>
              <w:t>ай</w:t>
            </w:r>
            <w:r w:rsidR="008D184E" w:rsidRPr="005D5509">
              <w:t xml:space="preserve"> </w:t>
            </w:r>
            <w:r w:rsidR="00290657" w:rsidRPr="005D5509">
              <w:t xml:space="preserve">өсу мүмкіндіктерін шектейді. Сондықтан қаржылық сауаттылықты арттыру және </w:t>
            </w:r>
            <w:r w:rsidR="008D184E">
              <w:rPr>
                <w:lang w:val="kk-KZ"/>
              </w:rPr>
              <w:t xml:space="preserve">кредитке шамадан тыс жүктелуді азайту </w:t>
            </w:r>
            <w:r w:rsidR="00290657" w:rsidRPr="005D5509">
              <w:t xml:space="preserve">шаралары жобасы салауатты қаржылық әдеттерді, қарызды басқару және инвестициялық дағдыларды қалыптастыруда шешуші рөл атқарады, бұл сайып келгенде жастардың және тұтастай алғанда елдің тұрақты экономикалық дамуына ықпал етеді.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1E43" w14:textId="65727AAE" w:rsidR="00290657" w:rsidRPr="005D5509" w:rsidRDefault="00290657" w:rsidP="00D222A6">
            <w:pPr>
              <w:jc w:val="center"/>
            </w:pPr>
            <w:r w:rsidRPr="005D5509">
              <w:t xml:space="preserve">2025 </w:t>
            </w:r>
            <w:r w:rsidR="009B7178">
              <w:t xml:space="preserve">жыл </w:t>
            </w:r>
            <w:r w:rsidRPr="005D5509">
              <w:t xml:space="preserve"> -</w:t>
            </w:r>
          </w:p>
          <w:p w14:paraId="2BCCACA9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40 230 </w:t>
            </w:r>
            <w:r w:rsidRPr="005D5509">
              <w:rPr>
                <w:bCs/>
                <w:lang w:val="kk-KZ"/>
              </w:rPr>
              <w:t xml:space="preserve">мың </w:t>
            </w:r>
            <w:r w:rsidRPr="005D5509">
              <w:rPr>
                <w:bCs/>
              </w:rPr>
              <w:t>тг;</w:t>
            </w:r>
          </w:p>
          <w:p w14:paraId="66088B56" w14:textId="77777777" w:rsidR="00290657" w:rsidRPr="005D5509" w:rsidRDefault="00290657" w:rsidP="00D222A6">
            <w:pPr>
              <w:jc w:val="center"/>
            </w:pPr>
          </w:p>
          <w:p w14:paraId="70D64811" w14:textId="73D9456B" w:rsidR="00290657" w:rsidRPr="005D5509" w:rsidRDefault="00290657" w:rsidP="00D222A6">
            <w:pPr>
              <w:jc w:val="center"/>
            </w:pPr>
            <w:r w:rsidRPr="005D5509">
              <w:t xml:space="preserve">2026 </w:t>
            </w:r>
            <w:r w:rsidR="009B7178">
              <w:t xml:space="preserve">жыл </w:t>
            </w:r>
            <w:r w:rsidRPr="005D5509">
              <w:t xml:space="preserve"> -</w:t>
            </w:r>
          </w:p>
          <w:p w14:paraId="6797AE9B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40 177 </w:t>
            </w:r>
            <w:r w:rsidRPr="005D5509">
              <w:rPr>
                <w:bCs/>
              </w:rPr>
              <w:t>мың</w:t>
            </w:r>
            <w:r w:rsidRPr="005D5509">
              <w:rPr>
                <w:bCs/>
                <w:lang w:val="kk-KZ"/>
              </w:rPr>
              <w:t xml:space="preserve"> </w:t>
            </w:r>
            <w:r w:rsidRPr="005D5509">
              <w:rPr>
                <w:bCs/>
              </w:rPr>
              <w:t>тг;</w:t>
            </w:r>
          </w:p>
          <w:p w14:paraId="41126905" w14:textId="77777777" w:rsidR="00290657" w:rsidRPr="005D5509" w:rsidRDefault="00290657" w:rsidP="00D222A6">
            <w:pPr>
              <w:jc w:val="center"/>
            </w:pPr>
          </w:p>
          <w:p w14:paraId="7A53B031" w14:textId="7148FC66" w:rsidR="00290657" w:rsidRPr="005D5509" w:rsidRDefault="00290657" w:rsidP="00D222A6">
            <w:pPr>
              <w:jc w:val="center"/>
            </w:pPr>
            <w:r w:rsidRPr="005D5509">
              <w:t xml:space="preserve">2027 </w:t>
            </w:r>
            <w:r w:rsidR="009B7178">
              <w:t xml:space="preserve">жыл </w:t>
            </w:r>
            <w:r w:rsidRPr="005D5509">
              <w:t xml:space="preserve"> -</w:t>
            </w:r>
          </w:p>
          <w:p w14:paraId="779B3DA9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40 121 </w:t>
            </w:r>
            <w:r w:rsidRPr="005D5509">
              <w:rPr>
                <w:bCs/>
              </w:rPr>
              <w:t>мың</w:t>
            </w:r>
            <w:r w:rsidRPr="005D5509">
              <w:rPr>
                <w:bCs/>
                <w:lang w:val="kk-KZ"/>
              </w:rPr>
              <w:t xml:space="preserve"> </w:t>
            </w:r>
            <w:r w:rsidRPr="005D5509">
              <w:rPr>
                <w:bCs/>
              </w:rPr>
              <w:t>тг</w:t>
            </w:r>
          </w:p>
          <w:p w14:paraId="199971F6" w14:textId="77777777" w:rsidR="00290657" w:rsidRPr="005D5509" w:rsidRDefault="00290657" w:rsidP="00D222A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9DB2" w14:textId="77777777" w:rsidR="00290657" w:rsidRPr="005D5509" w:rsidRDefault="00290657" w:rsidP="00D222A6">
            <w:pPr>
              <w:jc w:val="center"/>
            </w:pPr>
            <w:r w:rsidRPr="005D5509">
              <w:t>1 ұзақ мерзімді грант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7967" w14:textId="1807CFDD" w:rsidR="00290657" w:rsidRPr="005D5509" w:rsidRDefault="009B7178" w:rsidP="00D222A6">
            <w:pPr>
              <w:rPr>
                <w:b/>
              </w:rPr>
            </w:pPr>
            <w:r>
              <w:rPr>
                <w:b/>
              </w:rPr>
              <w:t xml:space="preserve">Нысаналы индикаторлар </w:t>
            </w:r>
            <w:r w:rsidR="00290657" w:rsidRPr="005D5509">
              <w:rPr>
                <w:b/>
              </w:rPr>
              <w:t>:</w:t>
            </w:r>
          </w:p>
          <w:p w14:paraId="37911FB0" w14:textId="77777777" w:rsidR="00290657" w:rsidRPr="005D5509" w:rsidRDefault="00290657" w:rsidP="00D222A6">
            <w:r w:rsidRPr="005D5509">
              <w:t xml:space="preserve">1) </w:t>
            </w:r>
            <w:r w:rsidRPr="005D5509">
              <w:rPr>
                <w:b/>
              </w:rPr>
              <w:t>кемінде 10 мың</w:t>
            </w:r>
            <w:r w:rsidRPr="005D5509">
              <w:t xml:space="preserve"> жасты қамтитын жастардың қаржылық сауаттылығын дамытуға бағытталған іс-шараларды (форумдар, ойындар, семинарлар, тренингтер, семинарлар және т.б.) ұйымдастыру және өткізу;</w:t>
            </w:r>
          </w:p>
          <w:p w14:paraId="5579706A" w14:textId="77777777" w:rsidR="00290657" w:rsidRPr="005D5509" w:rsidRDefault="00290657" w:rsidP="00D222A6">
            <w:r w:rsidRPr="005D5509">
              <w:t>2) ауыл жастары үшін қаржылық сауаттылық бойынша кіріспе курстарын ұйымдастыру мақсатында жастармен жұмыс жөніндегі мамандарды даярлау және олардың біліктілігін арттыру –</w:t>
            </w:r>
            <w:r w:rsidRPr="005D5509">
              <w:rPr>
                <w:b/>
              </w:rPr>
              <w:t>кемінде 100 адам</w:t>
            </w:r>
            <w:r w:rsidRPr="005D5509">
              <w:t>;</w:t>
            </w:r>
          </w:p>
          <w:p w14:paraId="2EDA654E" w14:textId="65F8DC56" w:rsidR="00290657" w:rsidRPr="005D5509" w:rsidRDefault="00290657" w:rsidP="00D222A6">
            <w:r w:rsidRPr="005D5509">
              <w:rPr>
                <w:lang w:val="kk-KZ"/>
              </w:rPr>
              <w:t xml:space="preserve">3) </w:t>
            </w:r>
            <w:r w:rsidRPr="005D5509">
              <w:rPr>
                <w:b/>
              </w:rPr>
              <w:t xml:space="preserve">жалпы саны  </w:t>
            </w:r>
            <w:r w:rsidR="00BE291A">
              <w:rPr>
                <w:b/>
                <w:lang w:val="kk-KZ"/>
              </w:rPr>
              <w:t xml:space="preserve">кемінде </w:t>
            </w:r>
            <w:r w:rsidRPr="005D5509">
              <w:rPr>
                <w:b/>
                <w:lang w:val="kk-KZ"/>
              </w:rPr>
              <w:t>200</w:t>
            </w:r>
            <w:r w:rsidRPr="005D5509">
              <w:t xml:space="preserve"> адам</w:t>
            </w:r>
            <w:r w:rsidR="00BE291A">
              <w:rPr>
                <w:lang w:val="kk-KZ"/>
              </w:rPr>
              <w:t>ды қамтитын м</w:t>
            </w:r>
            <w:r w:rsidR="00BE291A" w:rsidRPr="005D5509">
              <w:rPr>
                <w:lang w:val="kk-KZ"/>
              </w:rPr>
              <w:t>емлекеттік жастар саясаты саласында</w:t>
            </w:r>
            <w:r w:rsidR="00BE291A">
              <w:rPr>
                <w:lang w:val="kk-KZ"/>
              </w:rPr>
              <w:t>, сондай-ақ</w:t>
            </w:r>
            <w:r w:rsidR="00BE291A" w:rsidRPr="005D5509">
              <w:rPr>
                <w:lang w:val="kk-KZ"/>
              </w:rPr>
              <w:t xml:space="preserve"> </w:t>
            </w:r>
            <w:r w:rsidR="00BE291A">
              <w:rPr>
                <w:lang w:val="kk-KZ"/>
              </w:rPr>
              <w:t xml:space="preserve">жастар арасында </w:t>
            </w:r>
            <w:r w:rsidR="00BE291A" w:rsidRPr="005D5509">
              <w:rPr>
                <w:lang w:val="kk-KZ"/>
              </w:rPr>
              <w:t>құқықбұзушылықты</w:t>
            </w:r>
            <w:r w:rsidR="00BE291A">
              <w:rPr>
                <w:lang w:val="kk-KZ"/>
              </w:rPr>
              <w:t>ң</w:t>
            </w:r>
            <w:r w:rsidR="00BE291A" w:rsidRPr="005D5509">
              <w:rPr>
                <w:lang w:val="kk-KZ"/>
              </w:rPr>
              <w:t xml:space="preserve"> </w:t>
            </w:r>
            <w:r w:rsidR="00BE291A">
              <w:rPr>
                <w:lang w:val="kk-KZ"/>
              </w:rPr>
              <w:t xml:space="preserve">және </w:t>
            </w:r>
            <w:r w:rsidR="00BE291A" w:rsidRPr="005D5509">
              <w:rPr>
                <w:lang w:val="kk-KZ"/>
              </w:rPr>
              <w:t>криминализация</w:t>
            </w:r>
            <w:r w:rsidR="00BE291A">
              <w:rPr>
                <w:lang w:val="kk-KZ"/>
              </w:rPr>
              <w:t>ның</w:t>
            </w:r>
            <w:r w:rsidR="00BE291A" w:rsidRPr="005D5509">
              <w:t xml:space="preserve"> </w:t>
            </w:r>
            <w:r w:rsidR="00BE291A">
              <w:rPr>
                <w:lang w:val="kk-KZ"/>
              </w:rPr>
              <w:t xml:space="preserve">алдын алу </w:t>
            </w:r>
            <w:r w:rsidR="00BE291A" w:rsidRPr="005D5509">
              <w:t>және басқа да заманауи сын-қатерлер</w:t>
            </w:r>
            <w:r w:rsidR="00BE291A">
              <w:rPr>
                <w:lang w:val="kk-KZ"/>
              </w:rPr>
              <w:t xml:space="preserve"> мәселелеріне</w:t>
            </w:r>
            <w:r w:rsidR="00BE291A" w:rsidRPr="005D5509">
              <w:t xml:space="preserve"> арналған ШЫ</w:t>
            </w:r>
            <w:r w:rsidR="00BE291A" w:rsidRPr="005D5509">
              <w:rPr>
                <w:lang w:val="kk-KZ"/>
              </w:rPr>
              <w:t xml:space="preserve">Ұ- ның </w:t>
            </w:r>
            <w:r w:rsidR="00BE291A" w:rsidRPr="005D5509">
              <w:t>жастар көшбасшылары</w:t>
            </w:r>
            <w:r w:rsidR="00BE291A">
              <w:rPr>
                <w:lang w:val="kk-KZ"/>
              </w:rPr>
              <w:t xml:space="preserve"> </w:t>
            </w:r>
            <w:r w:rsidR="00BE291A" w:rsidRPr="005D5509">
              <w:t>өкілдерінің қатысуымен</w:t>
            </w:r>
            <w:r w:rsidR="00BE291A" w:rsidRPr="005D5509">
              <w:rPr>
                <w:b/>
              </w:rPr>
              <w:t xml:space="preserve"> </w:t>
            </w:r>
            <w:r w:rsidR="00BE291A" w:rsidRPr="005D5509">
              <w:rPr>
                <w:b/>
                <w:lang w:val="kk-KZ"/>
              </w:rPr>
              <w:t>1</w:t>
            </w:r>
            <w:r w:rsidR="00BE291A" w:rsidRPr="005D5509">
              <w:t xml:space="preserve"> халықаралық форум/конференция ұйымдастыру және өткізу</w:t>
            </w:r>
            <w:r w:rsidRPr="005D5509">
              <w:t>;</w:t>
            </w:r>
          </w:p>
          <w:p w14:paraId="0B6D302A" w14:textId="0363DE5F" w:rsidR="00290657" w:rsidRPr="005D5509" w:rsidRDefault="00290657" w:rsidP="00D222A6">
            <w:pPr>
              <w:rPr>
                <w:lang w:val="kk-KZ"/>
              </w:rPr>
            </w:pPr>
            <w:r w:rsidRPr="005D5509">
              <w:rPr>
                <w:lang w:val="kk-KZ"/>
              </w:rPr>
              <w:t xml:space="preserve">4) </w:t>
            </w:r>
            <w:r w:rsidRPr="005D5509">
              <w:rPr>
                <w:b/>
                <w:lang w:val="kk-KZ"/>
              </w:rPr>
              <w:t>жыл сайын</w:t>
            </w:r>
            <w:r w:rsidRPr="005D5509">
              <w:rPr>
                <w:lang w:val="kk-KZ"/>
              </w:rPr>
              <w:t xml:space="preserve"> жастардың қаржылық сауаттылығын арттыруға бағытталған </w:t>
            </w:r>
            <w:r w:rsidR="00BE291A">
              <w:rPr>
                <w:lang w:val="kk-KZ"/>
              </w:rPr>
              <w:t xml:space="preserve">кемінде </w:t>
            </w:r>
            <w:r w:rsidRPr="005D5509">
              <w:rPr>
                <w:b/>
                <w:lang w:val="kk-KZ"/>
              </w:rPr>
              <w:lastRenderedPageBreak/>
              <w:t>5</w:t>
            </w:r>
            <w:r w:rsidRPr="005D5509">
              <w:rPr>
                <w:lang w:val="kk-KZ"/>
              </w:rPr>
              <w:t xml:space="preserve"> жергілікті </w:t>
            </w:r>
            <w:r w:rsidR="00BE291A" w:rsidRPr="005D5509">
              <w:rPr>
                <w:lang w:val="kk-KZ"/>
              </w:rPr>
              <w:t>бастама</w:t>
            </w:r>
            <w:r w:rsidR="00BE291A">
              <w:rPr>
                <w:lang w:val="kk-KZ"/>
              </w:rPr>
              <w:t>ны</w:t>
            </w:r>
            <w:r w:rsidR="00BE291A" w:rsidRPr="005D5509">
              <w:rPr>
                <w:lang w:val="kk-KZ"/>
              </w:rPr>
              <w:t xml:space="preserve"> </w:t>
            </w:r>
            <w:r w:rsidR="00BE291A">
              <w:rPr>
                <w:lang w:val="kk-KZ"/>
              </w:rPr>
              <w:t xml:space="preserve">іске </w:t>
            </w:r>
            <w:r w:rsidRPr="005D5509">
              <w:rPr>
                <w:lang w:val="kk-KZ"/>
              </w:rPr>
              <w:t>асыру;</w:t>
            </w:r>
          </w:p>
          <w:p w14:paraId="76DD7207" w14:textId="7785F672" w:rsidR="00290657" w:rsidRPr="005D5509" w:rsidRDefault="00290657" w:rsidP="00D222A6">
            <w:pPr>
              <w:rPr>
                <w:lang w:val="kk-KZ"/>
              </w:rPr>
            </w:pPr>
            <w:r w:rsidRPr="005D5509">
              <w:rPr>
                <w:lang w:val="kk-KZ"/>
              </w:rPr>
              <w:t xml:space="preserve">5) жоба идеяларын ілгерілету үшін банктермен, қаржы институттарымен, үкіметтік емес ұйымдармен және оқу орындарымен </w:t>
            </w:r>
            <w:r w:rsidRPr="005D5509">
              <w:rPr>
                <w:b/>
                <w:lang w:val="kk-KZ"/>
              </w:rPr>
              <w:t>кемінде 20</w:t>
            </w:r>
            <w:r w:rsidRPr="005D5509">
              <w:rPr>
                <w:lang w:val="kk-KZ"/>
              </w:rPr>
              <w:t xml:space="preserve"> </w:t>
            </w:r>
            <w:r w:rsidR="00BE291A">
              <w:rPr>
                <w:lang w:val="kk-KZ"/>
              </w:rPr>
              <w:t>әріптестік туралы</w:t>
            </w:r>
            <w:r w:rsidR="00BE291A" w:rsidRPr="005D5509">
              <w:rPr>
                <w:lang w:val="kk-KZ"/>
              </w:rPr>
              <w:t xml:space="preserve"> </w:t>
            </w:r>
            <w:r w:rsidRPr="005D5509">
              <w:rPr>
                <w:lang w:val="kk-KZ"/>
              </w:rPr>
              <w:t>шарт жасасу;</w:t>
            </w:r>
          </w:p>
          <w:p w14:paraId="286C6E48" w14:textId="77777777" w:rsidR="00290657" w:rsidRPr="005D5509" w:rsidRDefault="00290657" w:rsidP="00D222A6">
            <w:pPr>
              <w:rPr>
                <w:lang w:val="kk-KZ"/>
              </w:rPr>
            </w:pPr>
            <w:r w:rsidRPr="005D5509">
              <w:rPr>
                <w:lang w:val="kk-KZ"/>
              </w:rPr>
              <w:t xml:space="preserve">6) ақпараттық науқанмен қамту (әлеуметтік желілер, БАҚ, іс-шаралар арқылы) – </w:t>
            </w:r>
            <w:r w:rsidRPr="005D5509">
              <w:rPr>
                <w:b/>
                <w:lang w:val="kk-KZ"/>
              </w:rPr>
              <w:t>кемінде 500,0 мың адам</w:t>
            </w:r>
            <w:r w:rsidRPr="005D5509">
              <w:rPr>
                <w:lang w:val="kk-KZ"/>
              </w:rPr>
              <w:t>;</w:t>
            </w:r>
          </w:p>
          <w:p w14:paraId="62CF7DD2" w14:textId="7ED82B51" w:rsidR="00290657" w:rsidRPr="005D5509" w:rsidRDefault="00290657" w:rsidP="00D222A6">
            <w:pPr>
              <w:rPr>
                <w:lang w:val="kk-KZ"/>
              </w:rPr>
            </w:pPr>
            <w:r w:rsidRPr="005D5509">
              <w:rPr>
                <w:lang w:val="kk-KZ"/>
              </w:rPr>
              <w:t xml:space="preserve">7) қаржыға жауапкершілікпен қарау мәдениетін қалыптастыру үшін мәдениет, спорт, білім беру, қоғамдық-саяси қызмет </w:t>
            </w:r>
            <w:r w:rsidR="003C4657" w:rsidRPr="005D5509">
              <w:rPr>
                <w:lang w:val="kk-KZ"/>
              </w:rPr>
              <w:t>сала</w:t>
            </w:r>
            <w:r w:rsidR="003C4657">
              <w:rPr>
                <w:lang w:val="kk-KZ"/>
              </w:rPr>
              <w:t xml:space="preserve">сындағы медиялық тұлғалар қатарынан тұратын </w:t>
            </w:r>
            <w:r w:rsidR="003C4657" w:rsidRPr="005D5509">
              <w:rPr>
                <w:lang w:val="kk-KZ"/>
              </w:rPr>
              <w:t xml:space="preserve"> </w:t>
            </w:r>
            <w:r w:rsidRPr="005D5509">
              <w:rPr>
                <w:lang w:val="kk-KZ"/>
              </w:rPr>
              <w:t xml:space="preserve">қоғамдық пікір көшбасшыларын тарту - </w:t>
            </w:r>
            <w:r w:rsidRPr="005D5509">
              <w:rPr>
                <w:b/>
                <w:lang w:val="kk-KZ"/>
              </w:rPr>
              <w:t>жыл сайын кемінде 10 адам</w:t>
            </w:r>
            <w:r w:rsidRPr="005D5509">
              <w:rPr>
                <w:lang w:val="kk-KZ"/>
              </w:rPr>
              <w:t>;</w:t>
            </w:r>
          </w:p>
          <w:p w14:paraId="4D1ACDEF" w14:textId="77777777" w:rsidR="00290657" w:rsidRPr="005D5509" w:rsidRDefault="00290657" w:rsidP="00D222A6">
            <w:pPr>
              <w:rPr>
                <w:lang w:val="kk-KZ"/>
              </w:rPr>
            </w:pPr>
            <w:r w:rsidRPr="005D5509">
              <w:rPr>
                <w:lang w:val="kk-KZ"/>
              </w:rPr>
              <w:t xml:space="preserve">8) бастапқы деңгейден бағдарлама/жоба кезеңін аяқтағанға дейін қаржылық жоспарлау, кредиттер бойынша негізгі сұрақтарға дұрыс жауап беретін қатысушылар үлесін арттыру (тестілеу нәтижелері бойынша) – </w:t>
            </w:r>
            <w:r w:rsidRPr="005D5509">
              <w:rPr>
                <w:b/>
                <w:lang w:val="kk-KZ"/>
              </w:rPr>
              <w:t>жыл сайын кемінде 25%</w:t>
            </w:r>
            <w:r w:rsidRPr="005D5509">
              <w:rPr>
                <w:lang w:val="kk-KZ"/>
              </w:rPr>
              <w:t>;</w:t>
            </w:r>
          </w:p>
          <w:p w14:paraId="185B3234" w14:textId="77777777" w:rsidR="00290657" w:rsidRPr="005D5509" w:rsidRDefault="00290657" w:rsidP="00D222A6">
            <w:pPr>
              <w:rPr>
                <w:lang w:val="kk-KZ"/>
              </w:rPr>
            </w:pPr>
            <w:r w:rsidRPr="005D5509">
              <w:rPr>
                <w:lang w:val="kk-KZ"/>
              </w:rPr>
              <w:t xml:space="preserve">9) жеке бюджетін жүйелі түрде жоспарлайтын қатысушылар үлесін арттыру (сауалнама </w:t>
            </w:r>
            <w:r w:rsidRPr="005D5509">
              <w:rPr>
                <w:lang w:val="kk-KZ"/>
              </w:rPr>
              <w:lastRenderedPageBreak/>
              <w:t xml:space="preserve">нәтижелері бойынша) – </w:t>
            </w:r>
            <w:r w:rsidRPr="005D5509">
              <w:rPr>
                <w:b/>
                <w:lang w:val="kk-KZ"/>
              </w:rPr>
              <w:t>жыл сайын кемінде 70 %;</w:t>
            </w:r>
          </w:p>
          <w:p w14:paraId="7DA1A956" w14:textId="77777777" w:rsidR="00290657" w:rsidRPr="005D5509" w:rsidRDefault="00290657" w:rsidP="00D222A6">
            <w:pPr>
              <w:rPr>
                <w:lang w:val="kk-KZ"/>
              </w:rPr>
            </w:pPr>
            <w:r w:rsidRPr="005D5509">
              <w:rPr>
                <w:lang w:val="kk-KZ"/>
              </w:rPr>
              <w:t xml:space="preserve">10) ұзақ мерзімді қаржылық мақсаттарды (мысалы, үй сатып алу, оқу) қоятын қатысушылардың үлесін арттыру (сауалнама нәтижелері бойынша) – </w:t>
            </w:r>
            <w:r w:rsidRPr="005D5509">
              <w:rPr>
                <w:b/>
                <w:lang w:val="kk-KZ"/>
              </w:rPr>
              <w:t>жыл сайын кемінде 70%</w:t>
            </w:r>
            <w:r w:rsidRPr="005D5509">
              <w:rPr>
                <w:lang w:val="kk-KZ"/>
              </w:rPr>
              <w:t>;</w:t>
            </w:r>
          </w:p>
          <w:p w14:paraId="3DEA4E24" w14:textId="4602C0D4" w:rsidR="00290657" w:rsidRPr="005D5509" w:rsidRDefault="00290657" w:rsidP="00D222A6">
            <w:pPr>
              <w:pStyle w:val="a8"/>
              <w:ind w:left="0"/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11) </w:t>
            </w:r>
            <w:r w:rsidR="003C4657" w:rsidRPr="005D5509">
              <w:rPr>
                <w:lang w:val="kk-KZ"/>
              </w:rPr>
              <w:t>шығы</w:t>
            </w:r>
            <w:r w:rsidR="003C4657">
              <w:rPr>
                <w:lang w:val="kk-KZ"/>
              </w:rPr>
              <w:t>ст</w:t>
            </w:r>
            <w:r w:rsidR="003C4657" w:rsidRPr="005D5509">
              <w:rPr>
                <w:lang w:val="kk-KZ"/>
              </w:rPr>
              <w:t xml:space="preserve">арды </w:t>
            </w:r>
            <w:r w:rsidRPr="005D5509">
              <w:rPr>
                <w:lang w:val="kk-KZ"/>
              </w:rPr>
              <w:t xml:space="preserve">жоспарлау үшін қаржылық қосымшаларды немесе басқа құралдарды пайдаланатын қатысушылар үлесін арттыру (сауалнама нәтижелері бойынша) – </w:t>
            </w:r>
            <w:r w:rsidRPr="005D5509">
              <w:rPr>
                <w:b/>
                <w:lang w:val="kk-KZ"/>
              </w:rPr>
              <w:t>жыл сайын кемінде 60%.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48555" w14:textId="77777777" w:rsidR="00290657" w:rsidRPr="005D5509" w:rsidRDefault="00290657" w:rsidP="00D222A6">
            <w:pPr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>Жиһазбен бірге кемінде 30 ш.м кеңсе немесе жалға алынған үй-жайдың болуы;</w:t>
            </w:r>
          </w:p>
          <w:p w14:paraId="6E3BE7F1" w14:textId="77777777" w:rsidR="00290657" w:rsidRPr="005D5509" w:rsidRDefault="00290657" w:rsidP="00D222A6">
            <w:pPr>
              <w:pStyle w:val="a5"/>
              <w:spacing w:before="0" w:beforeAutospacing="0" w:after="0" w:afterAutospacing="0"/>
              <w:jc w:val="both"/>
            </w:pPr>
            <w:r w:rsidRPr="005D5509">
              <w:t>компьютерлер кемінде 3 дана, ақ-қара принтер 1 дана, фотокамера 1 дана, бейнекамера 1 дана;</w:t>
            </w:r>
          </w:p>
        </w:tc>
      </w:tr>
      <w:tr w:rsidR="00290657" w:rsidRPr="005D5509" w14:paraId="56281351" w14:textId="77777777" w:rsidTr="00E90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9216" w14:textId="77777777" w:rsidR="00290657" w:rsidRPr="005D5509" w:rsidRDefault="00290657" w:rsidP="00D222A6">
            <w:r w:rsidRPr="005D5509">
              <w:lastRenderedPageBreak/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2AC" w14:textId="77777777" w:rsidR="00290657" w:rsidRPr="005D5509" w:rsidRDefault="00290657" w:rsidP="00D222A6">
            <w:pPr>
              <w:jc w:val="center"/>
            </w:pPr>
            <w:r w:rsidRPr="005D5509">
              <w:t>Жастар саясаты мен балалар бастамаларын қолдау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73EA" w14:textId="77777777" w:rsidR="00290657" w:rsidRPr="005D5509" w:rsidRDefault="00290657" w:rsidP="00D222A6">
            <w:pPr>
              <w:jc w:val="center"/>
            </w:pPr>
            <w:r w:rsidRPr="005D5509">
              <w:t>Қылмыстық жазасын өтеген жастар қатарындағы адамдарды оңалту және бейімдеу жөніндегі іс-шаралар кешенін жүргізу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358" w14:textId="77777777" w:rsidR="00290657" w:rsidRPr="005D5509" w:rsidRDefault="00290657" w:rsidP="00D222A6">
            <w:pPr>
              <w:pStyle w:val="a5"/>
              <w:spacing w:before="0" w:beforeAutospacing="0" w:after="0" w:afterAutospacing="0"/>
              <w:jc w:val="both"/>
            </w:pPr>
            <w:r w:rsidRPr="005D5509">
              <w:t>Соңғы тоғыз жылда Қазақстанның колонияларындағы сотталғандар саны екі есеге жуық азайды.</w:t>
            </w:r>
          </w:p>
          <w:p w14:paraId="166C20EC" w14:textId="77777777" w:rsidR="00290657" w:rsidRPr="005D5509" w:rsidRDefault="00290657" w:rsidP="00D222A6">
            <w:pPr>
              <w:pStyle w:val="a5"/>
              <w:spacing w:before="0" w:beforeAutospacing="0" w:after="0" w:afterAutospacing="0"/>
              <w:jc w:val="both"/>
            </w:pPr>
            <w:r w:rsidRPr="005D5509">
              <w:t>Сотталғандарды түзеудегі маңызды аспект – оларды жұмыспен қамтамасыз ету. Жұмыспен қамтылған 14 мың сотталғанның 11 мыңнан астамы ақылы жұмысқа орналастырылды. Бостандыққа шыққаннан кейін мұндай адамдарға қайта әлеуметтену және өзін қалпына келтіру оңайырақ.</w:t>
            </w:r>
          </w:p>
          <w:p w14:paraId="6AA1F325" w14:textId="721AB5EB" w:rsidR="00DF325C" w:rsidRDefault="00290657" w:rsidP="00D222A6">
            <w:pPr>
              <w:pStyle w:val="a5"/>
              <w:spacing w:before="0" w:beforeAutospacing="0" w:after="0" w:afterAutospacing="0"/>
              <w:jc w:val="both"/>
            </w:pPr>
            <w:r w:rsidRPr="005D5509">
              <w:t>Бұл тұрғыда қайта әлеуметтендіру және оңалту ұғымдары қазіргі қоғамда цифрлық, құқықтық және қаржылық сауаттылықпен байланысты өмірлік маңызды дағдыларды алу</w:t>
            </w:r>
            <w:r w:rsidR="00DF325C">
              <w:rPr>
                <w:lang w:val="kk-KZ"/>
              </w:rPr>
              <w:t>ды</w:t>
            </w:r>
            <w:r w:rsidRPr="005D5509">
              <w:t xml:space="preserve">, тұрақты жұмысқа орналасу және/немесе кәсіби </w:t>
            </w:r>
            <w:r w:rsidRPr="005D5509">
              <w:lastRenderedPageBreak/>
              <w:t>тәжірибе алу үшін негізгі дағдыларды алу, сондай-ақ орта</w:t>
            </w:r>
            <w:r w:rsidR="00DF325C">
              <w:rPr>
                <w:lang w:val="kk-KZ"/>
              </w:rPr>
              <w:t xml:space="preserve">, кәсіби және академиялық білім алудың бар мүмкіндіктері туралы  </w:t>
            </w:r>
            <w:r w:rsidRPr="005D5509">
              <w:t xml:space="preserve"> </w:t>
            </w:r>
            <w:r w:rsidR="00DF325C">
              <w:rPr>
                <w:lang w:val="kk-KZ"/>
              </w:rPr>
              <w:t>көріністі қамтиды</w:t>
            </w:r>
            <w:r w:rsidRPr="005D5509">
              <w:t>.</w:t>
            </w:r>
          </w:p>
          <w:p w14:paraId="6BB040A2" w14:textId="6724E048" w:rsidR="00290657" w:rsidRPr="005D5509" w:rsidRDefault="00290657" w:rsidP="00D222A6">
            <w:pPr>
              <w:pStyle w:val="a5"/>
              <w:spacing w:before="0" w:beforeAutospacing="0" w:after="0" w:afterAutospacing="0"/>
              <w:jc w:val="both"/>
            </w:pPr>
            <w:r w:rsidRPr="005D5509">
              <w:t>Сонымен қатар, АУЭ мәдениетінің романтизациясы мен мифологиясын жоққа шығаруға, оның дәстүрлі емес діни және экстремистік бастамалармен немесе ұйымдармен қосылуына жол бермеуге, сондай-ақ өзара сенімсіздік, сатқындық</w:t>
            </w:r>
            <w:r w:rsidR="00DF325C">
              <w:rPr>
                <w:lang w:val="kk-KZ"/>
              </w:rPr>
              <w:t>,</w:t>
            </w:r>
            <w:r w:rsidRPr="005D5509">
              <w:t xml:space="preserve"> </w:t>
            </w:r>
            <w:r w:rsidR="00DF325C" w:rsidRPr="005D5509">
              <w:t xml:space="preserve">ашкөздік мәдениетінің, қылмыстық ортадағы нашақорлық </w:t>
            </w:r>
            <w:r w:rsidRPr="005D5509">
              <w:t>бейнелерін нығайтуға және Қазақстанның құқық қорғау органдарымен бірлесіп әрекет ету арқылы олардың кінәсін ішінара өтеу мүмкіндігі</w:t>
            </w:r>
            <w:r w:rsidR="00A46153">
              <w:rPr>
                <w:lang w:val="kk-KZ"/>
              </w:rPr>
              <w:t>не</w:t>
            </w:r>
            <w:r w:rsidR="00A46153" w:rsidRPr="005D5509">
              <w:t xml:space="preserve"> бағытталған шаралар кешенін жүргізу қажет.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704" w14:textId="0CBD0B7E" w:rsidR="00290657" w:rsidRPr="005D5509" w:rsidRDefault="00290657" w:rsidP="00D222A6">
            <w:pPr>
              <w:jc w:val="center"/>
              <w:rPr>
                <w:bCs/>
              </w:rPr>
            </w:pPr>
            <w:r w:rsidRPr="005D5509">
              <w:rPr>
                <w:bCs/>
              </w:rPr>
              <w:lastRenderedPageBreak/>
              <w:t xml:space="preserve">2025 </w:t>
            </w:r>
            <w:r w:rsidR="009B7178">
              <w:rPr>
                <w:bCs/>
              </w:rPr>
              <w:t xml:space="preserve">жыл </w:t>
            </w:r>
            <w:r w:rsidRPr="005D5509">
              <w:rPr>
                <w:bCs/>
              </w:rPr>
              <w:t xml:space="preserve"> – 30 000 мың</w:t>
            </w:r>
            <w:r w:rsidRPr="005D5509">
              <w:rPr>
                <w:bCs/>
                <w:lang w:val="kk-KZ"/>
              </w:rPr>
              <w:t xml:space="preserve"> </w:t>
            </w:r>
            <w:r w:rsidRPr="005D5509">
              <w:rPr>
                <w:bCs/>
              </w:rPr>
              <w:t>тг;</w:t>
            </w:r>
          </w:p>
          <w:p w14:paraId="6A5ED182" w14:textId="77777777" w:rsidR="00290657" w:rsidRPr="005D5509" w:rsidRDefault="00290657" w:rsidP="00D222A6">
            <w:pPr>
              <w:jc w:val="center"/>
              <w:rPr>
                <w:bCs/>
              </w:rPr>
            </w:pPr>
          </w:p>
          <w:p w14:paraId="52984822" w14:textId="4B6E9260" w:rsidR="00290657" w:rsidRPr="005D5509" w:rsidRDefault="00290657" w:rsidP="00D222A6">
            <w:pPr>
              <w:jc w:val="center"/>
              <w:rPr>
                <w:bCs/>
              </w:rPr>
            </w:pPr>
            <w:r w:rsidRPr="005D5509">
              <w:rPr>
                <w:bCs/>
              </w:rPr>
              <w:t xml:space="preserve">2026 </w:t>
            </w:r>
            <w:r w:rsidR="009B7178">
              <w:rPr>
                <w:bCs/>
              </w:rPr>
              <w:t xml:space="preserve">жыл </w:t>
            </w:r>
            <w:r w:rsidRPr="005D5509">
              <w:rPr>
                <w:bCs/>
              </w:rPr>
              <w:t xml:space="preserve"> – 30 000 мың тг;</w:t>
            </w:r>
          </w:p>
          <w:p w14:paraId="37142D60" w14:textId="77777777" w:rsidR="00290657" w:rsidRPr="005D5509" w:rsidRDefault="00290657" w:rsidP="00D222A6">
            <w:pPr>
              <w:jc w:val="center"/>
              <w:rPr>
                <w:bCs/>
              </w:rPr>
            </w:pPr>
          </w:p>
          <w:p w14:paraId="4CBB3A77" w14:textId="77777777" w:rsidR="00290657" w:rsidRPr="005D5509" w:rsidRDefault="00290657" w:rsidP="00D222A6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62A" w14:textId="77777777" w:rsidR="00290657" w:rsidRPr="005D5509" w:rsidRDefault="00290657" w:rsidP="00D222A6">
            <w:pPr>
              <w:jc w:val="center"/>
              <w:rPr>
                <w:bCs/>
              </w:rPr>
            </w:pPr>
            <w:r w:rsidRPr="005D5509">
              <w:rPr>
                <w:bCs/>
              </w:rPr>
              <w:t>1 орта мерзімді</w:t>
            </w:r>
          </w:p>
          <w:p w14:paraId="42C5186B" w14:textId="77777777" w:rsidR="00290657" w:rsidRPr="00D222A6" w:rsidRDefault="00290657" w:rsidP="00D222A6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D222A6">
              <w:rPr>
                <w:b w:val="0"/>
                <w:bCs/>
                <w:sz w:val="24"/>
                <w:szCs w:val="24"/>
              </w:rPr>
              <w:t>грант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E93" w14:textId="77777777" w:rsidR="00290657" w:rsidRPr="005D5509" w:rsidRDefault="00290657" w:rsidP="00D222A6">
            <w:pPr>
              <w:rPr>
                <w:b/>
              </w:rPr>
            </w:pPr>
            <w:r w:rsidRPr="005D5509">
              <w:rPr>
                <w:b/>
              </w:rPr>
              <w:t>Мақсатты индикатор:</w:t>
            </w:r>
          </w:p>
          <w:p w14:paraId="13D85EBE" w14:textId="11744BC9" w:rsidR="00290657" w:rsidRPr="005D5509" w:rsidRDefault="00290657" w:rsidP="00D222A6">
            <w:r w:rsidRPr="005D5509">
              <w:t xml:space="preserve">1) қолдаусыз ұқсас топпен салыстырғанда жобаға қатысушылар арасында қайталанатын құқық бұзушылық деңгейін </w:t>
            </w:r>
            <w:r w:rsidRPr="005D5509">
              <w:rPr>
                <w:b/>
              </w:rPr>
              <w:t>15%-ға</w:t>
            </w:r>
            <w:r w:rsidRPr="005D5509">
              <w:t xml:space="preserve"> төменде</w:t>
            </w:r>
            <w:r w:rsidR="00A46153">
              <w:rPr>
                <w:lang w:val="kk-KZ"/>
              </w:rPr>
              <w:t>ту</w:t>
            </w:r>
            <w:r w:rsidRPr="005D5509">
              <w:t>;</w:t>
            </w:r>
          </w:p>
          <w:p w14:paraId="6EB7617B" w14:textId="77777777" w:rsidR="00290657" w:rsidRPr="005D5509" w:rsidRDefault="00290657" w:rsidP="00D222A6">
            <w:r w:rsidRPr="005D5509">
              <w:t>2) жобаға қатысушыларды жұмыс</w:t>
            </w:r>
            <w:r w:rsidRPr="005D5509">
              <w:rPr>
                <w:lang w:val="kk-KZ"/>
              </w:rPr>
              <w:t>қа орналастыру</w:t>
            </w:r>
            <w:r w:rsidRPr="005D5509">
              <w:t xml:space="preserve"> (жұмыс</w:t>
            </w:r>
            <w:r w:rsidRPr="005D5509">
              <w:rPr>
                <w:lang w:val="kk-KZ"/>
              </w:rPr>
              <w:t>бастылығын</w:t>
            </w:r>
            <w:r w:rsidRPr="005D5509">
              <w:t xml:space="preserve"> қамт</w:t>
            </w:r>
            <w:r w:rsidRPr="005D5509">
              <w:rPr>
                <w:lang w:val="kk-KZ"/>
              </w:rPr>
              <w:t>амасыз ету</w:t>
            </w:r>
            <w:r w:rsidRPr="005D5509">
              <w:t xml:space="preserve">) және/немесе кәсіптік біліммен (оқытумен) қамту – </w:t>
            </w:r>
            <w:r w:rsidRPr="005D5509">
              <w:rPr>
                <w:b/>
              </w:rPr>
              <w:t>кемінде 80 %;</w:t>
            </w:r>
          </w:p>
          <w:p w14:paraId="0C23B04F" w14:textId="591DAB98" w:rsidR="00290657" w:rsidRPr="005D5509" w:rsidRDefault="00290657" w:rsidP="00D222A6">
            <w:r w:rsidRPr="005D5509">
              <w:t xml:space="preserve">3) </w:t>
            </w:r>
            <w:r w:rsidR="00A46153">
              <w:rPr>
                <w:lang w:val="kk-KZ"/>
              </w:rPr>
              <w:t xml:space="preserve">қоғамдық </w:t>
            </w:r>
            <w:r w:rsidRPr="005D5509">
              <w:t xml:space="preserve">пайдалы іс-шараларға (мысалы, сенбіліктер, қоғамдық іс-шаралар, волонтерлік) </w:t>
            </w:r>
            <w:r w:rsidRPr="005D5509">
              <w:lastRenderedPageBreak/>
              <w:t xml:space="preserve">қатысатын жобаға қатысушылардың үлесі – </w:t>
            </w:r>
            <w:r w:rsidRPr="005D5509">
              <w:rPr>
                <w:b/>
              </w:rPr>
              <w:t>кемінде 50 %;</w:t>
            </w:r>
          </w:p>
          <w:p w14:paraId="502F8DA8" w14:textId="77777777" w:rsidR="00290657" w:rsidRPr="005D5509" w:rsidRDefault="00290657" w:rsidP="00D222A6">
            <w:r w:rsidRPr="005D5509">
              <w:t xml:space="preserve">4) әлеуметтік бейімделудің жоғары деңгейін көрсететін қатысушылар үлесінің артуы (психологиялық тестілер бойынша) – </w:t>
            </w:r>
            <w:r w:rsidRPr="005D5509">
              <w:rPr>
                <w:b/>
              </w:rPr>
              <w:t>кемінде 70 %</w:t>
            </w:r>
            <w:r w:rsidRPr="005D5509">
              <w:t>;</w:t>
            </w:r>
          </w:p>
          <w:p w14:paraId="4B5A4065" w14:textId="77777777" w:rsidR="00290657" w:rsidRPr="005D5509" w:rsidRDefault="00290657" w:rsidP="00D222A6">
            <w:r w:rsidRPr="005D5509">
              <w:t xml:space="preserve">5) қатысушыларды тұлғалық даму, күйзеліс және жанжалдарды басқару дағдылары бойынша тренингтермен қамту – </w:t>
            </w:r>
            <w:r w:rsidRPr="005D5509">
              <w:rPr>
                <w:b/>
              </w:rPr>
              <w:t>кемінде 80 %</w:t>
            </w:r>
            <w:r w:rsidRPr="005D5509">
              <w:t>;</w:t>
            </w:r>
          </w:p>
          <w:p w14:paraId="60653EC7" w14:textId="77777777" w:rsidR="00290657" w:rsidRPr="005D5509" w:rsidRDefault="00290657" w:rsidP="00D222A6">
            <w:r w:rsidRPr="005D5509">
              <w:t xml:space="preserve">6) қатысушылардың </w:t>
            </w:r>
            <w:r w:rsidRPr="005D5509">
              <w:rPr>
                <w:b/>
              </w:rPr>
              <w:t>50%-ы</w:t>
            </w:r>
            <w:r w:rsidRPr="005D5509">
              <w:t xml:space="preserve"> мамандардан немесе волонтерлерден ұзақ мерзімді қолдау алатын тәлімгерлік жүйесін құру;</w:t>
            </w:r>
          </w:p>
          <w:p w14:paraId="27263B33" w14:textId="353A3394" w:rsidR="00290657" w:rsidRPr="005D5509" w:rsidRDefault="00290657" w:rsidP="00D222A6">
            <w:r w:rsidRPr="005D5509">
              <w:t>7) жұмысқа орналасу және әлеуметтік өмір перспективаларының жақсаруы туралы мәлімде</w:t>
            </w:r>
            <w:r w:rsidR="00A46153">
              <w:rPr>
                <w:lang w:val="kk-KZ"/>
              </w:rPr>
              <w:t>л</w:t>
            </w:r>
            <w:r w:rsidRPr="005D5509">
              <w:t>ген жоба</w:t>
            </w:r>
            <w:r w:rsidR="00A46153">
              <w:rPr>
                <w:lang w:val="kk-KZ"/>
              </w:rPr>
              <w:t xml:space="preserve"> </w:t>
            </w:r>
            <w:r w:rsidRPr="005D5509">
              <w:t>қатысушылар</w:t>
            </w:r>
            <w:r w:rsidR="00A46153">
              <w:rPr>
                <w:lang w:val="kk-KZ"/>
              </w:rPr>
              <w:t>ының</w:t>
            </w:r>
            <w:r w:rsidRPr="005D5509">
              <w:t xml:space="preserve"> үлесі (сауалнама нәтижелері бойынша) –</w:t>
            </w:r>
            <w:r w:rsidRPr="005D5509">
              <w:rPr>
                <w:b/>
              </w:rPr>
              <w:t>кемінде 75 %;</w:t>
            </w:r>
          </w:p>
          <w:p w14:paraId="00B9E461" w14:textId="77777777" w:rsidR="00290657" w:rsidRPr="005D5509" w:rsidRDefault="00290657" w:rsidP="00D222A6">
            <w:r w:rsidRPr="005D5509">
              <w:t xml:space="preserve">8) жобаға қатысушыларды қолдау мақсатында жұмыс берушілермен, оқу орындарымен және ҮЕҰ-мен кемінде </w:t>
            </w:r>
            <w:r w:rsidRPr="005D5509">
              <w:rPr>
                <w:b/>
              </w:rPr>
              <w:t>20</w:t>
            </w:r>
            <w:r w:rsidRPr="005D5509">
              <w:t xml:space="preserve"> шарт жасасу;</w:t>
            </w:r>
          </w:p>
          <w:p w14:paraId="767B1056" w14:textId="77777777" w:rsidR="00290657" w:rsidRPr="005D5509" w:rsidRDefault="00290657" w:rsidP="00D222A6">
            <w:r w:rsidRPr="005D5509">
              <w:t xml:space="preserve">9) жастарды оңалтудың маңыздылығы туралы </w:t>
            </w:r>
            <w:r w:rsidRPr="005D5509">
              <w:lastRenderedPageBreak/>
              <w:t xml:space="preserve">ақпараттық науқанды қамту – </w:t>
            </w:r>
            <w:r w:rsidRPr="005D5509">
              <w:rPr>
                <w:b/>
              </w:rPr>
              <w:t>кемінде 500 мың адам</w:t>
            </w:r>
            <w:r w:rsidRPr="005D5509">
              <w:t>;</w:t>
            </w:r>
          </w:p>
          <w:p w14:paraId="6A2EAECC" w14:textId="14D98FBB" w:rsidR="00290657" w:rsidRPr="005D5509" w:rsidRDefault="00290657" w:rsidP="00D222A6">
            <w:r w:rsidRPr="005D5509">
              <w:t xml:space="preserve">10) жоба шеңберінде қажетті медициналық-психологиялық консультация/қызметтер алған қатысушылардың үлесі </w:t>
            </w:r>
            <w:r w:rsidRPr="005D5509">
              <w:rPr>
                <w:b/>
              </w:rPr>
              <w:t>кемінде 90%</w:t>
            </w:r>
            <w:r w:rsidRPr="005D5509">
              <w:t>;</w:t>
            </w:r>
          </w:p>
          <w:p w14:paraId="1BF4C1B8" w14:textId="35B327EF" w:rsidR="00290657" w:rsidRPr="005D5509" w:rsidRDefault="00290657" w:rsidP="00D222A6">
            <w:r w:rsidRPr="005D5509">
              <w:t xml:space="preserve">11) жоба шеңберінде тұрғын үй, жұмыспен қамту, білім беру және т.б. мәселелер бойынша мемлекеттік қолдау шаралары бойынша қажетті консультациялар алған қатысушылардың үлесі </w:t>
            </w:r>
            <w:r w:rsidRPr="005D5509">
              <w:rPr>
                <w:b/>
              </w:rPr>
              <w:t>кемінде 90 %</w:t>
            </w:r>
            <w:r w:rsidRPr="005D5509">
              <w:t>;</w:t>
            </w:r>
          </w:p>
          <w:p w14:paraId="17B8821E" w14:textId="3A9EB6C7" w:rsidR="00290657" w:rsidRPr="005D5509" w:rsidRDefault="00290657" w:rsidP="00D222A6">
            <w:pPr>
              <w:pBdr>
                <w:bottom w:val="single" w:sz="4" w:space="22" w:color="FFFFFF"/>
              </w:pBdr>
              <w:tabs>
                <w:tab w:val="left" w:pos="0"/>
              </w:tabs>
              <w:jc w:val="both"/>
              <w:rPr>
                <w:rFonts w:eastAsia="Calibri"/>
                <w:bCs/>
              </w:rPr>
            </w:pPr>
            <w:r w:rsidRPr="005D5509">
              <w:t xml:space="preserve">12) жоба шеңберінде қолдау алғаннан кейін мемлекеттік және әлеуметтік қызметтерге сенімнің артқанын атап өткен қатысушылардың үлесі </w:t>
            </w:r>
            <w:r w:rsidRPr="005D5509">
              <w:rPr>
                <w:b/>
              </w:rPr>
              <w:t>кемінде 70%</w:t>
            </w:r>
            <w:r w:rsidRPr="005D5509"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D4F" w14:textId="77777777" w:rsidR="00290657" w:rsidRPr="005D5509" w:rsidRDefault="00290657" w:rsidP="00D222A6"/>
        </w:tc>
      </w:tr>
      <w:tr w:rsidR="00290657" w:rsidRPr="005D5509" w14:paraId="703CCB61" w14:textId="77777777" w:rsidTr="00E90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F8A" w14:textId="77777777" w:rsidR="00290657" w:rsidRPr="005D5509" w:rsidRDefault="00290657" w:rsidP="00D222A6">
            <w:r w:rsidRPr="005D5509">
              <w:lastRenderedPageBreak/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274E" w14:textId="77777777" w:rsidR="00290657" w:rsidRPr="005D5509" w:rsidRDefault="00290657" w:rsidP="00D222A6">
            <w:pPr>
              <w:jc w:val="center"/>
            </w:pPr>
            <w:r w:rsidRPr="005D5509">
              <w:t>Жастар саясаты мен балалар бастамаларын қолдау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A77" w14:textId="77777777" w:rsidR="00290657" w:rsidRPr="005D5509" w:rsidRDefault="00290657" w:rsidP="00D222A6">
            <w:pPr>
              <w:jc w:val="center"/>
            </w:pPr>
            <w:r w:rsidRPr="005D5509">
              <w:t>Ойынқұмарлықтың (лудоманияның) алдын-алу бойынша шаралар кешені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ABC" w14:textId="77777777" w:rsidR="00290657" w:rsidRPr="005D5509" w:rsidRDefault="00290657" w:rsidP="00D222A6">
            <w:pPr>
              <w:jc w:val="both"/>
            </w:pPr>
            <w:r w:rsidRPr="005D5509">
              <w:t>Л</w:t>
            </w:r>
            <w:r w:rsidRPr="005D5509">
              <w:rPr>
                <w:lang w:val="kk-KZ"/>
              </w:rPr>
              <w:t>у</w:t>
            </w:r>
            <w:r w:rsidRPr="005D5509">
              <w:t xml:space="preserve">домания - құмар ойындарға тәуелділік. Ол құмар ойындарға қайталанатын, нашар бақыланатын ниеттен көрінеді, бұл жақын адамдармен қарым-қатынасқа, жұмыс пен қаржылық жағдайға </w:t>
            </w:r>
            <w:r w:rsidRPr="005D5509">
              <w:rPr>
                <w:lang w:val="kk-KZ"/>
              </w:rPr>
              <w:t>жойқын</w:t>
            </w:r>
            <w:r w:rsidRPr="005D5509">
              <w:t xml:space="preserve"> әсер етеді.</w:t>
            </w:r>
          </w:p>
          <w:p w14:paraId="7FE14086" w14:textId="75D6BA18" w:rsidR="00290657" w:rsidRPr="005D5509" w:rsidRDefault="00290657" w:rsidP="00D222A6">
            <w:pPr>
              <w:jc w:val="both"/>
            </w:pPr>
            <w:r w:rsidRPr="005D5509">
              <w:t xml:space="preserve">Жастардың құмар ойындар мен компьютерлік ойындарға </w:t>
            </w:r>
            <w:r w:rsidR="007150B0">
              <w:rPr>
                <w:lang w:val="kk-KZ"/>
              </w:rPr>
              <w:t>тәуелділігі</w:t>
            </w:r>
            <w:r w:rsidRPr="005D5509">
              <w:t xml:space="preserve"> қоғам мен жалпы мемлекет алдында тұрған өзекті мәселелердің бірі болып табылады.</w:t>
            </w:r>
          </w:p>
          <w:p w14:paraId="7F7559E6" w14:textId="49AE27B3" w:rsidR="00290657" w:rsidRPr="005D5509" w:rsidRDefault="00290657" w:rsidP="00D222A6">
            <w:pPr>
              <w:jc w:val="both"/>
            </w:pPr>
            <w:r w:rsidRPr="005D5509">
              <w:lastRenderedPageBreak/>
              <w:t xml:space="preserve">Қазіргі кезеңде әрбір қазақстандықтың санасын жаңғырту үшін түсінікті, үлкендердің де, жас ұрпақтың да жүрегінен </w:t>
            </w:r>
            <w:r w:rsidR="007150B0">
              <w:rPr>
                <w:lang w:val="kk-KZ"/>
              </w:rPr>
              <w:t>орын табатын</w:t>
            </w:r>
            <w:r w:rsidR="007150B0" w:rsidRPr="005D5509">
              <w:t xml:space="preserve"> </w:t>
            </w:r>
            <w:r w:rsidRPr="005D5509">
              <w:t>ортақ идеологиялар талап етіледі.</w:t>
            </w:r>
          </w:p>
          <w:p w14:paraId="5406CB42" w14:textId="6184B2DF" w:rsidR="00290657" w:rsidRPr="005D5509" w:rsidRDefault="00290657" w:rsidP="00D222A6">
            <w:pPr>
              <w:jc w:val="both"/>
            </w:pPr>
            <w:r w:rsidRPr="005D5509">
              <w:t xml:space="preserve">Салауатты ұрпақты қалыптастыру </w:t>
            </w:r>
            <w:r w:rsidR="007150B0">
              <w:rPr>
                <w:lang w:val="kk-KZ"/>
              </w:rPr>
              <w:t>науқандар,</w:t>
            </w:r>
            <w:r w:rsidRPr="005D5509">
              <w:t xml:space="preserve"> психологпен дәріс және әңгімелесу</w:t>
            </w:r>
            <w:r w:rsidR="007150B0">
              <w:rPr>
                <w:lang w:val="kk-KZ"/>
              </w:rPr>
              <w:t xml:space="preserve"> өткізу</w:t>
            </w:r>
            <w:r w:rsidRPr="005D5509">
              <w:t>, мемлекеттік органдарға сенім арту арқылы жүзеге асады.</w:t>
            </w:r>
          </w:p>
          <w:p w14:paraId="23B082D0" w14:textId="31462081" w:rsidR="00290657" w:rsidRPr="005D5509" w:rsidRDefault="00290657" w:rsidP="00D222A6">
            <w:pPr>
              <w:jc w:val="both"/>
            </w:pPr>
            <w:r w:rsidRPr="005D5509">
              <w:t xml:space="preserve">Осыған байланысты </w:t>
            </w:r>
            <w:r w:rsidR="007150B0">
              <w:rPr>
                <w:lang w:val="kk-KZ"/>
              </w:rPr>
              <w:t>аталған бағытты</w:t>
            </w:r>
            <w:r w:rsidRPr="005D5509">
              <w:t xml:space="preserve"> дамыту үшін жүйелі </w:t>
            </w:r>
            <w:r w:rsidR="007150B0">
              <w:rPr>
                <w:lang w:val="kk-KZ"/>
              </w:rPr>
              <w:t xml:space="preserve">және жоспарлы </w:t>
            </w:r>
            <w:r w:rsidRPr="005D5509">
              <w:t xml:space="preserve"> жұмыс қажет.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540" w14:textId="1DB294FE" w:rsidR="00290657" w:rsidRPr="005D5509" w:rsidRDefault="00290657" w:rsidP="00D222A6">
            <w:pPr>
              <w:jc w:val="center"/>
            </w:pPr>
            <w:r w:rsidRPr="005D5509">
              <w:lastRenderedPageBreak/>
              <w:t>2025ж. -</w:t>
            </w:r>
          </w:p>
          <w:p w14:paraId="527CF139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50 000 </w:t>
            </w:r>
            <w:r w:rsidRPr="005D5509">
              <w:rPr>
                <w:bCs/>
              </w:rPr>
              <w:t>мың.тг;</w:t>
            </w:r>
          </w:p>
          <w:p w14:paraId="1E3F03E8" w14:textId="77777777" w:rsidR="00290657" w:rsidRPr="005D5509" w:rsidRDefault="00290657" w:rsidP="00D222A6">
            <w:pPr>
              <w:jc w:val="center"/>
            </w:pPr>
          </w:p>
          <w:p w14:paraId="728599D8" w14:textId="77777777" w:rsidR="00290657" w:rsidRPr="005D5509" w:rsidRDefault="00290657" w:rsidP="00D222A6">
            <w:pPr>
              <w:jc w:val="center"/>
            </w:pPr>
            <w:r w:rsidRPr="005D5509">
              <w:t>2026</w:t>
            </w:r>
            <w:r w:rsidRPr="005D5509">
              <w:rPr>
                <w:lang w:val="kk-KZ"/>
              </w:rPr>
              <w:t xml:space="preserve"> ж.</w:t>
            </w:r>
            <w:r w:rsidRPr="005D5509">
              <w:t xml:space="preserve"> -</w:t>
            </w:r>
          </w:p>
          <w:p w14:paraId="0A6BE703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50 000 </w:t>
            </w:r>
            <w:r w:rsidRPr="005D5509">
              <w:rPr>
                <w:bCs/>
              </w:rPr>
              <w:t>мың</w:t>
            </w:r>
            <w:r w:rsidRPr="005D5509">
              <w:rPr>
                <w:bCs/>
                <w:lang w:val="kk-KZ"/>
              </w:rPr>
              <w:t xml:space="preserve"> </w:t>
            </w:r>
            <w:r w:rsidRPr="005D5509">
              <w:rPr>
                <w:bCs/>
              </w:rPr>
              <w:t>тг;</w:t>
            </w:r>
          </w:p>
          <w:p w14:paraId="688A1529" w14:textId="77777777" w:rsidR="00290657" w:rsidRPr="005D5509" w:rsidRDefault="00290657" w:rsidP="00D222A6">
            <w:pPr>
              <w:jc w:val="center"/>
            </w:pPr>
          </w:p>
          <w:p w14:paraId="145AB325" w14:textId="77777777" w:rsidR="00290657" w:rsidRPr="005D5509" w:rsidRDefault="00290657" w:rsidP="00D222A6">
            <w:pPr>
              <w:jc w:val="center"/>
            </w:pPr>
            <w:r w:rsidRPr="005D5509">
              <w:t xml:space="preserve">2027 </w:t>
            </w:r>
            <w:r w:rsidRPr="005D5509">
              <w:rPr>
                <w:lang w:val="kk-KZ"/>
              </w:rPr>
              <w:t>ж.</w:t>
            </w:r>
            <w:r w:rsidRPr="005D5509">
              <w:t xml:space="preserve"> -</w:t>
            </w:r>
          </w:p>
          <w:p w14:paraId="76973F78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lastRenderedPageBreak/>
              <w:t xml:space="preserve">50 000 </w:t>
            </w:r>
            <w:r w:rsidRPr="005D5509">
              <w:rPr>
                <w:lang w:val="kk-KZ"/>
              </w:rPr>
              <w:t xml:space="preserve">мың </w:t>
            </w:r>
            <w:r w:rsidRPr="005D5509">
              <w:rPr>
                <w:bCs/>
              </w:rPr>
              <w:t>тг</w:t>
            </w:r>
          </w:p>
          <w:p w14:paraId="236AE52B" w14:textId="77777777" w:rsidR="00290657" w:rsidRPr="005D5509" w:rsidRDefault="00290657" w:rsidP="00D222A6">
            <w:pPr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ECA" w14:textId="77777777" w:rsidR="00290657" w:rsidRPr="005D5509" w:rsidRDefault="00290657" w:rsidP="00D222A6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5D5509">
              <w:rPr>
                <w:b w:val="0"/>
                <w:sz w:val="24"/>
                <w:szCs w:val="24"/>
              </w:rPr>
              <w:lastRenderedPageBreak/>
              <w:t>1 ұзақ мерзімді грант</w:t>
            </w:r>
          </w:p>
          <w:p w14:paraId="5ECF3FC0" w14:textId="77777777" w:rsidR="00290657" w:rsidRPr="005D5509" w:rsidRDefault="00290657" w:rsidP="00D222A6"/>
          <w:p w14:paraId="4FCD96D2" w14:textId="77777777" w:rsidR="00290657" w:rsidRPr="005D5509" w:rsidRDefault="00290657" w:rsidP="00D222A6"/>
          <w:p w14:paraId="1D1FC99D" w14:textId="77777777" w:rsidR="00290657" w:rsidRPr="005D5509" w:rsidRDefault="00290657" w:rsidP="00D222A6"/>
          <w:p w14:paraId="67863EE9" w14:textId="77777777" w:rsidR="00290657" w:rsidRPr="005D5509" w:rsidRDefault="00290657" w:rsidP="00D222A6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14:paraId="2428574C" w14:textId="77777777" w:rsidR="00290657" w:rsidRPr="005D5509" w:rsidRDefault="00290657" w:rsidP="00D222A6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29B" w14:textId="6A59C483" w:rsidR="00290657" w:rsidRPr="005D5509" w:rsidRDefault="009B7178" w:rsidP="00D222A6">
            <w:pPr>
              <w:jc w:val="both"/>
              <w:rPr>
                <w:b/>
              </w:rPr>
            </w:pPr>
            <w:r>
              <w:rPr>
                <w:b/>
              </w:rPr>
              <w:t xml:space="preserve">Нысаналы индикаторлар </w:t>
            </w:r>
            <w:r w:rsidR="00290657" w:rsidRPr="005D5509">
              <w:rPr>
                <w:b/>
              </w:rPr>
              <w:t>:</w:t>
            </w:r>
          </w:p>
          <w:p w14:paraId="20014F8A" w14:textId="77777777" w:rsidR="00290657" w:rsidRPr="005D5509" w:rsidRDefault="00290657" w:rsidP="00D222A6">
            <w:pPr>
              <w:jc w:val="both"/>
            </w:pPr>
            <w:r w:rsidRPr="005D5509">
              <w:t xml:space="preserve">1) </w:t>
            </w:r>
            <w:r w:rsidRPr="005D5509">
              <w:rPr>
                <w:b/>
              </w:rPr>
              <w:t>жыл сайын кемінде 10 мың</w:t>
            </w:r>
            <w:r w:rsidRPr="005D5509">
              <w:t xml:space="preserve"> жасты қамтитын ойынға тәуелділіктің алдын алуға бағытталған іс-шараларды (тренингтер, лекциялар, тренингтер, семинарлар және т.б.) ұйымдастыру және өткізу;</w:t>
            </w:r>
          </w:p>
          <w:p w14:paraId="6D5522B1" w14:textId="59B4C401" w:rsidR="00290657" w:rsidRPr="005D5509" w:rsidRDefault="00290657" w:rsidP="00D222A6">
            <w:pPr>
              <w:jc w:val="both"/>
            </w:pPr>
            <w:r w:rsidRPr="005D5509">
              <w:t xml:space="preserve">2) білім беру ұйымдарында, ювеналдық полиция органдарында арнайы есепте </w:t>
            </w:r>
            <w:r w:rsidRPr="005D5509">
              <w:lastRenderedPageBreak/>
              <w:t>тұрған жасөспірімдер</w:t>
            </w:r>
            <w:r w:rsidRPr="005D5509">
              <w:rPr>
                <w:lang w:val="kk-KZ"/>
              </w:rPr>
              <w:t xml:space="preserve"> мен</w:t>
            </w:r>
            <w:r w:rsidRPr="005D5509">
              <w:t xml:space="preserve"> ұйымдаспаған жастар арасынан</w:t>
            </w:r>
            <w:r w:rsidR="007150B0">
              <w:rPr>
                <w:lang w:val="kk-KZ"/>
              </w:rPr>
              <w:t xml:space="preserve">  қамтылған</w:t>
            </w:r>
            <w:r w:rsidRPr="005D5509">
              <w:t xml:space="preserve"> жоба аудиториясының үлесі –</w:t>
            </w:r>
            <w:r w:rsidRPr="005D5509">
              <w:rPr>
                <w:b/>
              </w:rPr>
              <w:t>кемінде 1/4 бөлігі</w:t>
            </w:r>
            <w:r w:rsidRPr="005D5509">
              <w:t>;</w:t>
            </w:r>
          </w:p>
          <w:p w14:paraId="7620DE07" w14:textId="77777777" w:rsidR="00290657" w:rsidRPr="005D5509" w:rsidRDefault="00290657" w:rsidP="00D222A6">
            <w:pPr>
              <w:jc w:val="both"/>
            </w:pPr>
            <w:r w:rsidRPr="005D5509">
              <w:t xml:space="preserve">3) қазіргі заманғы дағдыларды, диагностикалық әдістерді және ойынға тәуелді және/немесе зардап шегетін адамдармен мақсатты жұмысты меңгеру мақсатында жастар ресурстық орталықтарының, білім беру ұйымдарының психологтарын даярлау және олардың біліктілігін арттыру – </w:t>
            </w:r>
            <w:r w:rsidRPr="005D5509">
              <w:rPr>
                <w:b/>
              </w:rPr>
              <w:t>кемінде 100 адам</w:t>
            </w:r>
            <w:r w:rsidRPr="005D5509">
              <w:t>;</w:t>
            </w:r>
          </w:p>
          <w:p w14:paraId="65F2AAF3" w14:textId="77777777" w:rsidR="00290657" w:rsidRPr="005D5509" w:rsidRDefault="00290657" w:rsidP="00D222A6">
            <w:pPr>
              <w:jc w:val="both"/>
            </w:pPr>
            <w:r w:rsidRPr="005D5509">
              <w:t xml:space="preserve">4) жастар мен халықты ойынға тәуелділікке қарсы күресте қолдау көрсететін консультанттардың тұрақты желісін құру – </w:t>
            </w:r>
            <w:r w:rsidRPr="005D5509">
              <w:rPr>
                <w:b/>
              </w:rPr>
              <w:t>жыл сайын кемінде 1 мың</w:t>
            </w:r>
            <w:r w:rsidRPr="005D5509">
              <w:t xml:space="preserve"> консультация беру.</w:t>
            </w:r>
          </w:p>
          <w:p w14:paraId="29952896" w14:textId="213C498B" w:rsidR="00290657" w:rsidRPr="005D5509" w:rsidRDefault="00290657" w:rsidP="00D222A6">
            <w:pPr>
              <w:jc w:val="both"/>
            </w:pPr>
            <w:r w:rsidRPr="005D5509">
              <w:t xml:space="preserve">5) </w:t>
            </w:r>
            <w:r w:rsidRPr="005D5509">
              <w:rPr>
                <w:b/>
              </w:rPr>
              <w:t xml:space="preserve">жалпы кемінде </w:t>
            </w:r>
            <w:r w:rsidRPr="005D5509">
              <w:rPr>
                <w:b/>
                <w:lang w:val="kk-KZ"/>
              </w:rPr>
              <w:t>200</w:t>
            </w:r>
            <w:r w:rsidRPr="005D5509">
              <w:t xml:space="preserve"> адамды </w:t>
            </w:r>
            <w:r w:rsidR="0029535D">
              <w:rPr>
                <w:lang w:val="kk-KZ"/>
              </w:rPr>
              <w:t>қамтыған</w:t>
            </w:r>
            <w:r w:rsidR="0029535D" w:rsidRPr="005D5509">
              <w:t xml:space="preserve"> </w:t>
            </w:r>
            <w:r w:rsidRPr="005D5509">
              <w:t xml:space="preserve">жастар арасында </w:t>
            </w:r>
            <w:r w:rsidR="0029535D">
              <w:rPr>
                <w:lang w:val="kk-KZ"/>
              </w:rPr>
              <w:t xml:space="preserve">лудоманияға </w:t>
            </w:r>
            <w:r w:rsidRPr="005D5509">
              <w:t xml:space="preserve">тәуелділіктің және басқа да заманауи сын-қатерлердің алдын алуға арналған Орталық Азия/ТМД елдерінің жастар көшбасшыларының қатысуымен 1 халықаралық форум/конференция </w:t>
            </w:r>
            <w:r w:rsidRPr="005D5509">
              <w:lastRenderedPageBreak/>
              <w:t>ұйымдастыру және өткізу (2026 ж.);</w:t>
            </w:r>
          </w:p>
          <w:p w14:paraId="5A42C314" w14:textId="77777777" w:rsidR="00290657" w:rsidRPr="005D5509" w:rsidRDefault="00290657" w:rsidP="00D222A6">
            <w:pPr>
              <w:jc w:val="both"/>
            </w:pPr>
            <w:r w:rsidRPr="005D5509">
              <w:t>6) ақпараттық материалдар</w:t>
            </w:r>
            <w:r w:rsidRPr="005D5509">
              <w:rPr>
                <w:lang w:val="kk-KZ"/>
              </w:rPr>
              <w:t>мен</w:t>
            </w:r>
            <w:r w:rsidRPr="005D5509">
              <w:t xml:space="preserve"> жалпы қамту (бейне форматтағы әлеуметтік жарнама) –</w:t>
            </w:r>
            <w:r w:rsidRPr="005D5509">
              <w:rPr>
                <w:b/>
              </w:rPr>
              <w:t>кемінде 500,0 мы</w:t>
            </w:r>
            <w:r w:rsidRPr="005D5509">
              <w:rPr>
                <w:b/>
                <w:lang w:val="kk-KZ"/>
              </w:rPr>
              <w:t>ң</w:t>
            </w:r>
            <w:r w:rsidRPr="005D5509">
              <w:rPr>
                <w:b/>
              </w:rPr>
              <w:t xml:space="preserve"> қаралым</w:t>
            </w:r>
            <w:r w:rsidRPr="005D5509">
              <w:t>;</w:t>
            </w:r>
          </w:p>
          <w:p w14:paraId="4E42C622" w14:textId="255BAF0B" w:rsidR="00290657" w:rsidRPr="005D5509" w:rsidRDefault="00290657" w:rsidP="00D222A6">
            <w:pPr>
              <w:jc w:val="both"/>
            </w:pPr>
            <w:r w:rsidRPr="005D5509">
              <w:t xml:space="preserve">7) қатысушылар жасаған </w:t>
            </w:r>
            <w:r w:rsidR="00244A34">
              <w:rPr>
                <w:lang w:val="kk-KZ"/>
              </w:rPr>
              <w:t xml:space="preserve">құмар </w:t>
            </w:r>
            <w:r w:rsidRPr="005D5509">
              <w:t xml:space="preserve">ойынға тәуелділіктің алдын алуға бағытталған жастар бастамаларының саны – </w:t>
            </w:r>
            <w:r w:rsidRPr="005D5509">
              <w:rPr>
                <w:b/>
              </w:rPr>
              <w:t>жыл сайын кемінде 10</w:t>
            </w:r>
            <w:r w:rsidRPr="005D5509">
              <w:t>;</w:t>
            </w:r>
          </w:p>
          <w:p w14:paraId="72B7E775" w14:textId="4C53EA03" w:rsidR="00290657" w:rsidRPr="005D5509" w:rsidRDefault="00290657" w:rsidP="00D222A6">
            <w:pPr>
              <w:jc w:val="both"/>
            </w:pPr>
            <w:r w:rsidRPr="005D5509">
              <w:t xml:space="preserve">8) </w:t>
            </w:r>
            <w:r w:rsidRPr="005D5509">
              <w:rPr>
                <w:b/>
              </w:rPr>
              <w:t xml:space="preserve">жыл сайын </w:t>
            </w:r>
            <w:r w:rsidR="00244A34">
              <w:rPr>
                <w:b/>
                <w:lang w:val="kk-KZ"/>
              </w:rPr>
              <w:t xml:space="preserve">кемінде </w:t>
            </w:r>
            <w:r w:rsidRPr="005D5509">
              <w:rPr>
                <w:b/>
                <w:lang w:val="kk-KZ"/>
              </w:rPr>
              <w:t>1</w:t>
            </w:r>
            <w:r w:rsidRPr="005D5509">
              <w:rPr>
                <w:b/>
              </w:rPr>
              <w:t>0 мың</w:t>
            </w:r>
            <w:r w:rsidRPr="005D5509">
              <w:t xml:space="preserve"> пайдаланушыны қамтитын қолдау және оңалту орталықтарының байланыстары туралы деректер мен басқа да қажетті ақпаратты қамтитын </w:t>
            </w:r>
            <w:r w:rsidR="00244A34">
              <w:rPr>
                <w:lang w:val="kk-KZ"/>
              </w:rPr>
              <w:t xml:space="preserve">құмар </w:t>
            </w:r>
            <w:r w:rsidRPr="005D5509">
              <w:t>ойынға тәуелділік деңгейін өзін-өзі диагностикалауға арналған мобильді қосымшаны/онлайн платформаны іске қосу және ілгерілету;</w:t>
            </w:r>
          </w:p>
          <w:p w14:paraId="14375CEE" w14:textId="20DE1178" w:rsidR="00290657" w:rsidRPr="005D5509" w:rsidRDefault="00290657" w:rsidP="00D222A6">
            <w:pPr>
              <w:jc w:val="both"/>
            </w:pPr>
            <w:r w:rsidRPr="005D5509">
              <w:t xml:space="preserve">9) жоба идеяларын ілгерілету үшін ұлттық және халықаралық ҮЕҰ және оқу орындарымен </w:t>
            </w:r>
            <w:r w:rsidRPr="005D5509">
              <w:rPr>
                <w:b/>
              </w:rPr>
              <w:t>кемінде 20</w:t>
            </w:r>
            <w:r w:rsidRPr="005D5509">
              <w:t xml:space="preserve"> </w:t>
            </w:r>
            <w:r w:rsidR="00244A34">
              <w:rPr>
                <w:lang w:val="kk-KZ"/>
              </w:rPr>
              <w:t xml:space="preserve">әріптестік </w:t>
            </w:r>
            <w:r w:rsidRPr="005D5509">
              <w:t>келісімін жаса</w:t>
            </w:r>
            <w:r w:rsidR="00244A34">
              <w:rPr>
                <w:lang w:val="kk-KZ"/>
              </w:rPr>
              <w:t>с</w:t>
            </w:r>
            <w:r w:rsidRPr="005D5509">
              <w:t>у;</w:t>
            </w:r>
          </w:p>
          <w:p w14:paraId="2AF4DFD1" w14:textId="770862D1" w:rsidR="00290657" w:rsidRPr="005D5509" w:rsidRDefault="00290657" w:rsidP="00D222A6">
            <w:pPr>
              <w:jc w:val="both"/>
            </w:pPr>
            <w:r w:rsidRPr="005D5509">
              <w:t xml:space="preserve">10) </w:t>
            </w:r>
            <w:r w:rsidR="00244A34">
              <w:rPr>
                <w:lang w:val="kk-KZ"/>
              </w:rPr>
              <w:t xml:space="preserve">лудоманияға, құмар </w:t>
            </w:r>
            <w:r w:rsidRPr="005D5509">
              <w:t>ойынға тәуелділікке төзбеушілік мәдениетін қалыптастыру үшін мәдениет, спорт, білім</w:t>
            </w:r>
            <w:r w:rsidR="00244A34">
              <w:rPr>
                <w:lang w:val="kk-KZ"/>
              </w:rPr>
              <w:t xml:space="preserve"> беру</w:t>
            </w:r>
            <w:r w:rsidRPr="005D5509">
              <w:t xml:space="preserve">, </w:t>
            </w:r>
            <w:r w:rsidR="00244A34">
              <w:rPr>
                <w:lang w:val="kk-KZ"/>
              </w:rPr>
              <w:lastRenderedPageBreak/>
              <w:t>бизнес</w:t>
            </w:r>
            <w:r w:rsidRPr="005D5509">
              <w:t>, қоғамдық-саяси қызмет салаларында</w:t>
            </w:r>
            <w:r w:rsidR="00244A34">
              <w:rPr>
                <w:lang w:val="kk-KZ"/>
              </w:rPr>
              <w:t xml:space="preserve">ғы медиялық тұлғалардан тұратын </w:t>
            </w:r>
            <w:r w:rsidRPr="005D5509">
              <w:t xml:space="preserve"> қоғамдық пікір көшбасшыларын тарту - </w:t>
            </w:r>
            <w:r w:rsidRPr="005D5509">
              <w:rPr>
                <w:b/>
              </w:rPr>
              <w:t>жыл сайын кемінде 10</w:t>
            </w:r>
            <w:r w:rsidRPr="005D5509">
              <w:t xml:space="preserve"> адам;</w:t>
            </w:r>
          </w:p>
          <w:p w14:paraId="0F3B2819" w14:textId="79C87D64" w:rsidR="00290657" w:rsidRPr="005D5509" w:rsidRDefault="00290657" w:rsidP="00D222A6">
            <w:pPr>
              <w:jc w:val="both"/>
            </w:pPr>
            <w:r w:rsidRPr="005D5509">
              <w:t xml:space="preserve">11) </w:t>
            </w:r>
            <w:r w:rsidR="00244A34">
              <w:rPr>
                <w:lang w:val="kk-KZ"/>
              </w:rPr>
              <w:t xml:space="preserve">құмар </w:t>
            </w:r>
            <w:r w:rsidRPr="005D5509">
              <w:t xml:space="preserve">ойынға тәуелділіктің алдын алу бойынша білімі мен дағдыларын көрсететін қатысушылардың үлесі (тест арқылы бағалау) – </w:t>
            </w:r>
            <w:r w:rsidRPr="005D5509">
              <w:rPr>
                <w:b/>
              </w:rPr>
              <w:t>жыл сайын кемінде 70 %</w:t>
            </w:r>
            <w:r w:rsidRPr="005D5509">
              <w:t>;</w:t>
            </w:r>
          </w:p>
          <w:p w14:paraId="6B7E1262" w14:textId="17C3D0A2" w:rsidR="00290657" w:rsidRPr="005D5509" w:rsidRDefault="00290657" w:rsidP="00D222A6">
            <w:pPr>
              <w:pStyle w:val="a8"/>
              <w:ind w:left="0"/>
              <w:jc w:val="both"/>
              <w:rPr>
                <w:b/>
              </w:rPr>
            </w:pPr>
            <w:r w:rsidRPr="005D5509">
              <w:t xml:space="preserve">12) </w:t>
            </w:r>
            <w:r w:rsidR="00244A34">
              <w:rPr>
                <w:lang w:val="kk-KZ"/>
              </w:rPr>
              <w:t>лудоманияға</w:t>
            </w:r>
            <w:r w:rsidRPr="005D5509">
              <w:t xml:space="preserve"> тәуелділіктің және құмар ойындарға қатысудың тәуекелдері мен жағымсыз салдары туралы хабардар жобаға қатысушылардың үлесі (сауалнама нәтижелері бойынша) – </w:t>
            </w:r>
            <w:r w:rsidRPr="005D5509">
              <w:rPr>
                <w:b/>
              </w:rPr>
              <w:t>жыл сайын кемінде 70;</w:t>
            </w:r>
          </w:p>
          <w:p w14:paraId="5E94287E" w14:textId="77777777" w:rsidR="00290657" w:rsidRPr="005D5509" w:rsidRDefault="00290657" w:rsidP="00D222A6">
            <w:pPr>
              <w:pStyle w:val="a8"/>
              <w:numPr>
                <w:ilvl w:val="0"/>
                <w:numId w:val="22"/>
              </w:numPr>
              <w:ind w:left="0" w:firstLine="0"/>
              <w:jc w:val="both"/>
            </w:pPr>
            <w:r w:rsidRPr="005D5509">
              <w:t>іске асыруды ресурстық қолдауды қамтамасыз ету үшін жалпыға бірдей дауыс беру арқылы кемінде 10 үздік жобаны таңдай отырып, жыл сайын жастардан кемінде 100 идея мен ұсыныстар жинағын (конкурс) ұйымдастыру.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361" w14:textId="77777777" w:rsidR="00290657" w:rsidRPr="005D5509" w:rsidRDefault="00290657" w:rsidP="00D222A6">
            <w:r w:rsidRPr="005D5509">
              <w:lastRenderedPageBreak/>
              <w:t>Жиһазбен бірге кемінде 80 ш.м кеңсе немесе жалға алынған үй-жайдың болуы;</w:t>
            </w:r>
          </w:p>
          <w:p w14:paraId="2C0B78E0" w14:textId="77777777" w:rsidR="00290657" w:rsidRPr="005D5509" w:rsidRDefault="00290657" w:rsidP="00D222A6">
            <w:r w:rsidRPr="005D5509">
              <w:t xml:space="preserve">компьютерлер кемінде 3 дана, ақ-қара принтер 1 </w:t>
            </w:r>
            <w:r w:rsidRPr="005D5509">
              <w:lastRenderedPageBreak/>
              <w:t>дана, фотокамера 1 дана, бейнекамера 1 дана;</w:t>
            </w:r>
          </w:p>
          <w:p w14:paraId="4F28EDEF" w14:textId="77777777" w:rsidR="00290657" w:rsidRPr="005D5509" w:rsidRDefault="00290657" w:rsidP="00D222A6">
            <w:r w:rsidRPr="005D5509">
              <w:t xml:space="preserve">жергілікті және қалааралық байланысы бар телефон нөмірі </w:t>
            </w:r>
          </w:p>
        </w:tc>
      </w:tr>
      <w:tr w:rsidR="00290657" w:rsidRPr="005D5509" w14:paraId="78DD18C0" w14:textId="77777777" w:rsidTr="00E90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51B" w14:textId="77777777" w:rsidR="00290657" w:rsidRPr="005D5509" w:rsidRDefault="00290657" w:rsidP="00D222A6">
            <w:r w:rsidRPr="005D5509">
              <w:lastRenderedPageBreak/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A29" w14:textId="77777777" w:rsidR="00290657" w:rsidRPr="005D5509" w:rsidRDefault="00290657" w:rsidP="00D222A6">
            <w:pPr>
              <w:jc w:val="center"/>
            </w:pPr>
            <w:r w:rsidRPr="005D5509">
              <w:t xml:space="preserve">Жастар саясаты мен балалар </w:t>
            </w:r>
            <w:r w:rsidRPr="005D5509">
              <w:lastRenderedPageBreak/>
              <w:t>бастамаларын қолдау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02AE" w14:textId="77777777" w:rsidR="00290657" w:rsidRPr="005D5509" w:rsidRDefault="00290657" w:rsidP="00D222A6">
            <w:pPr>
              <w:jc w:val="center"/>
            </w:pPr>
            <w:r w:rsidRPr="005D5509">
              <w:lastRenderedPageBreak/>
              <w:t xml:space="preserve">Жастар арасында нашақорлық пен есірткі </w:t>
            </w:r>
            <w:r w:rsidRPr="005D5509">
              <w:lastRenderedPageBreak/>
              <w:t>қылмысының алдын 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363" w14:textId="77777777" w:rsidR="00290657" w:rsidRPr="005D5509" w:rsidRDefault="00290657" w:rsidP="00D222A6">
            <w:pPr>
              <w:pStyle w:val="3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5D5509">
              <w:rPr>
                <w:b w:val="0"/>
                <w:sz w:val="24"/>
                <w:szCs w:val="24"/>
              </w:rPr>
              <w:lastRenderedPageBreak/>
              <w:t>Нашақорлық - бұл психикалық, кейде соматикалық бұзылулармен бірге жүретін есірткіні қолдануға патологиялық құштарлықпен сипатталатын жағдай.</w:t>
            </w:r>
          </w:p>
          <w:p w14:paraId="314B2CF4" w14:textId="7F251AAB" w:rsidR="00290657" w:rsidRPr="005D5509" w:rsidRDefault="00290657" w:rsidP="00D222A6">
            <w:pPr>
              <w:jc w:val="both"/>
            </w:pPr>
            <w:r w:rsidRPr="005D5509">
              <w:lastRenderedPageBreak/>
              <w:t xml:space="preserve">Республикалық психикалық денсаулық ғылыми орталығының мәліметтері бойынша, оңалту орталықтарында нашақорлықпен ауыратын науқастардың 76%-ы синтетикалық есірткіні тұтынушылар болып табылады, олар алғаш қолданған кезден бастап </w:t>
            </w:r>
            <w:r w:rsidR="003E146D">
              <w:rPr>
                <w:lang w:val="kk-KZ"/>
              </w:rPr>
              <w:t>толеранттылық</w:t>
            </w:r>
            <w:r w:rsidR="003E146D" w:rsidRPr="005D5509">
              <w:t xml:space="preserve"> </w:t>
            </w:r>
            <w:r w:rsidRPr="005D5509">
              <w:t>пен тәуелділікті тудырады. Тәуелсіз зерттеулер</w:t>
            </w:r>
            <w:r w:rsidR="003E146D">
              <w:rPr>
                <w:lang w:val="kk-KZ"/>
              </w:rPr>
              <w:t xml:space="preserve"> деректеріне</w:t>
            </w:r>
            <w:r w:rsidRPr="005D5509">
              <w:t xml:space="preserve"> сүйенсек, </w:t>
            </w:r>
            <w:r w:rsidR="003E146D">
              <w:rPr>
                <w:lang w:val="kk-KZ"/>
              </w:rPr>
              <w:t>Қазақстанда</w:t>
            </w:r>
            <w:r w:rsidR="003E146D" w:rsidRPr="005D5509">
              <w:t xml:space="preserve"> </w:t>
            </w:r>
            <w:r w:rsidRPr="005D5509">
              <w:t>әрбір 5 жас есірткіні қолданып көрген. Бірқатар тәуелсіз сарапшылар мен сарапшылар есірткінің қолжетімділігі мен жүйелі профилактиканың жоқтығынан Қазақстан жастары арасында нашақорлар саны өсетінін алға тартады. Нашақорлықтың күрт өсуінің негізгі факторлары: 1) тәуелділікті стигматизациялау және көмекке жүгінуден бас тарту; 2) интернетте дәрілік препараттарды жарнамалаудың кең таралуы; 3) алдын алудың және жүйелі жұмыстың заманауи құралдарының болмауы.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B20" w14:textId="77777777" w:rsidR="00290657" w:rsidRPr="005D5509" w:rsidRDefault="00290657" w:rsidP="00D222A6">
            <w:pPr>
              <w:jc w:val="center"/>
            </w:pPr>
            <w:r w:rsidRPr="005D5509">
              <w:lastRenderedPageBreak/>
              <w:t xml:space="preserve">2025 </w:t>
            </w:r>
            <w:r w:rsidRPr="005D5509">
              <w:rPr>
                <w:lang w:val="kk-KZ"/>
              </w:rPr>
              <w:t>ж.</w:t>
            </w:r>
            <w:r w:rsidRPr="005D5509">
              <w:t xml:space="preserve"> -</w:t>
            </w:r>
          </w:p>
          <w:p w14:paraId="5A028656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50 000 </w:t>
            </w:r>
            <w:r w:rsidRPr="005D5509">
              <w:rPr>
                <w:bCs/>
              </w:rPr>
              <w:t>мың тг;</w:t>
            </w:r>
          </w:p>
          <w:p w14:paraId="2DE877AC" w14:textId="77777777" w:rsidR="00290657" w:rsidRPr="005D5509" w:rsidRDefault="00290657" w:rsidP="00D222A6">
            <w:pPr>
              <w:jc w:val="center"/>
            </w:pPr>
          </w:p>
          <w:p w14:paraId="4A43C093" w14:textId="77777777" w:rsidR="00290657" w:rsidRPr="005D5509" w:rsidRDefault="00290657" w:rsidP="00D222A6">
            <w:pPr>
              <w:jc w:val="center"/>
            </w:pPr>
            <w:r w:rsidRPr="005D5509">
              <w:lastRenderedPageBreak/>
              <w:t>2026</w:t>
            </w:r>
            <w:r w:rsidRPr="005D5509">
              <w:rPr>
                <w:lang w:val="kk-KZ"/>
              </w:rPr>
              <w:t xml:space="preserve"> ж.</w:t>
            </w:r>
            <w:r w:rsidRPr="005D5509">
              <w:t xml:space="preserve"> -</w:t>
            </w:r>
          </w:p>
          <w:p w14:paraId="243F9EFF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50 000 </w:t>
            </w:r>
            <w:r w:rsidRPr="005D5509">
              <w:rPr>
                <w:lang w:val="kk-KZ"/>
              </w:rPr>
              <w:t xml:space="preserve">мың </w:t>
            </w:r>
            <w:r w:rsidRPr="005D5509">
              <w:rPr>
                <w:bCs/>
              </w:rPr>
              <w:t>тг;</w:t>
            </w:r>
          </w:p>
          <w:p w14:paraId="37C35D13" w14:textId="77777777" w:rsidR="00290657" w:rsidRPr="005D5509" w:rsidRDefault="00290657" w:rsidP="00D222A6">
            <w:pPr>
              <w:jc w:val="center"/>
            </w:pPr>
          </w:p>
          <w:p w14:paraId="5CD683D5" w14:textId="77777777" w:rsidR="00290657" w:rsidRPr="005D5509" w:rsidRDefault="00290657" w:rsidP="00D222A6">
            <w:pPr>
              <w:jc w:val="center"/>
            </w:pPr>
            <w:r w:rsidRPr="005D5509">
              <w:t xml:space="preserve">2027 </w:t>
            </w:r>
            <w:r w:rsidRPr="005D5509">
              <w:rPr>
                <w:lang w:val="kk-KZ"/>
              </w:rPr>
              <w:t>ж.</w:t>
            </w:r>
            <w:r w:rsidRPr="005D5509">
              <w:t xml:space="preserve"> -</w:t>
            </w:r>
          </w:p>
          <w:p w14:paraId="2C8C6BBB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50 000 </w:t>
            </w:r>
            <w:r w:rsidRPr="005D5509">
              <w:rPr>
                <w:lang w:val="kk-KZ"/>
              </w:rPr>
              <w:t xml:space="preserve">мың </w:t>
            </w:r>
            <w:r w:rsidRPr="005D5509">
              <w:rPr>
                <w:bCs/>
              </w:rPr>
              <w:t>тг</w:t>
            </w:r>
          </w:p>
          <w:p w14:paraId="220DA73F" w14:textId="77777777" w:rsidR="00290657" w:rsidRPr="005D5509" w:rsidRDefault="00290657" w:rsidP="00D222A6">
            <w:pPr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EC37" w14:textId="77777777" w:rsidR="00290657" w:rsidRPr="005D5509" w:rsidRDefault="00290657" w:rsidP="00D222A6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5D5509">
              <w:rPr>
                <w:b w:val="0"/>
                <w:sz w:val="24"/>
                <w:szCs w:val="24"/>
              </w:rPr>
              <w:lastRenderedPageBreak/>
              <w:t>1 ұзақ мерзімді грант</w:t>
            </w:r>
          </w:p>
          <w:p w14:paraId="29D3A2AB" w14:textId="77777777" w:rsidR="00290657" w:rsidRPr="005D5509" w:rsidRDefault="00290657" w:rsidP="00D222A6"/>
          <w:p w14:paraId="371445CD" w14:textId="77777777" w:rsidR="00290657" w:rsidRPr="005D5509" w:rsidRDefault="00290657" w:rsidP="00D222A6"/>
          <w:p w14:paraId="1FC699FC" w14:textId="77777777" w:rsidR="00290657" w:rsidRPr="005D5509" w:rsidRDefault="00290657" w:rsidP="00D222A6"/>
          <w:p w14:paraId="210E25E0" w14:textId="77777777" w:rsidR="00290657" w:rsidRPr="005D5509" w:rsidRDefault="00290657" w:rsidP="00D222A6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14:paraId="36CFC73C" w14:textId="77777777" w:rsidR="00290657" w:rsidRPr="005D5509" w:rsidRDefault="00290657" w:rsidP="00D222A6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1FDD" w14:textId="4D7CFE8B" w:rsidR="00290657" w:rsidRPr="005D5509" w:rsidRDefault="009B7178" w:rsidP="00D222A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Нысаналы индикаторлар</w:t>
            </w:r>
            <w:r w:rsidR="00290657" w:rsidRPr="005D5509">
              <w:rPr>
                <w:b/>
              </w:rPr>
              <w:t>:</w:t>
            </w:r>
          </w:p>
          <w:p w14:paraId="17A23DAD" w14:textId="77777777" w:rsidR="00290657" w:rsidRPr="005D5509" w:rsidRDefault="00290657" w:rsidP="00D222A6">
            <w:pPr>
              <w:jc w:val="both"/>
            </w:pPr>
            <w:r w:rsidRPr="005D5509">
              <w:t xml:space="preserve">1) білім беру ұйымдарында, ювеналдық полиция органдарында арнайы есепте тұрған ұйымдаспаған жастар </w:t>
            </w:r>
            <w:r w:rsidRPr="005D5509">
              <w:lastRenderedPageBreak/>
              <w:t xml:space="preserve">мен жасөспірімдер арасынан жоба аудиториясының үлесі – </w:t>
            </w:r>
            <w:r w:rsidRPr="005D5509">
              <w:rPr>
                <w:b/>
              </w:rPr>
              <w:t xml:space="preserve">жыл сайын кемінде </w:t>
            </w:r>
            <w:r w:rsidRPr="005D5509">
              <w:rPr>
                <w:b/>
                <w:lang w:val="kk-KZ"/>
              </w:rPr>
              <w:t>1 мың адам</w:t>
            </w:r>
            <w:r w:rsidRPr="005D5509">
              <w:t>;</w:t>
            </w:r>
          </w:p>
          <w:p w14:paraId="4624C7E6" w14:textId="77777777" w:rsidR="00290657" w:rsidRPr="005D5509" w:rsidRDefault="00290657" w:rsidP="00D222A6">
            <w:pPr>
              <w:jc w:val="both"/>
            </w:pPr>
            <w:r w:rsidRPr="005D5509">
              <w:t xml:space="preserve">2) нашақорлықтың алдын алуға бағытталған іс-шараларды (тренингтер, лекциялар, насихаттар, рейдтер және т.б.) ұйымдастыру және өткізу, </w:t>
            </w:r>
            <w:r w:rsidRPr="005D5509">
              <w:rPr>
                <w:b/>
              </w:rPr>
              <w:t>кемінде 10 мың</w:t>
            </w:r>
            <w:r w:rsidRPr="005D5509">
              <w:t xml:space="preserve"> жасты қамту;</w:t>
            </w:r>
          </w:p>
          <w:p w14:paraId="0C15A949" w14:textId="15EC2396" w:rsidR="00290657" w:rsidRPr="005D5509" w:rsidRDefault="00290657" w:rsidP="00D222A6">
            <w:pPr>
              <w:jc w:val="both"/>
            </w:pPr>
            <w:r w:rsidRPr="005D5509">
              <w:t>3) ҮЕҰ, республикалық жастар ұйымдары, сарапшылар қоғамдастығы</w:t>
            </w:r>
            <w:r w:rsidR="00710488">
              <w:rPr>
                <w:lang w:val="kk-KZ"/>
              </w:rPr>
              <w:t xml:space="preserve"> өкілдерін</w:t>
            </w:r>
            <w:r w:rsidRPr="005D5509">
              <w:t xml:space="preserve">, </w:t>
            </w:r>
            <w:r w:rsidR="00710488">
              <w:rPr>
                <w:lang w:val="kk-KZ"/>
              </w:rPr>
              <w:t>медиа тұлғаларды</w:t>
            </w:r>
            <w:r w:rsidRPr="005D5509">
              <w:t xml:space="preserve">, белгiлi мәдениет, спорт </w:t>
            </w:r>
            <w:r w:rsidR="00710488" w:rsidRPr="005D5509">
              <w:t xml:space="preserve">өкiлдерiн </w:t>
            </w:r>
            <w:r w:rsidRPr="005D5509">
              <w:t>және кәсiпкерлердi қоса отырып, жастардың есiрткiге қарсы ұлттық қозғалысын құру және iлгерiлету;</w:t>
            </w:r>
          </w:p>
          <w:p w14:paraId="360C0A1F" w14:textId="77777777" w:rsidR="00290657" w:rsidRPr="005D5509" w:rsidRDefault="00290657" w:rsidP="00D222A6">
            <w:pPr>
              <w:jc w:val="both"/>
            </w:pPr>
            <w:r w:rsidRPr="005D5509">
              <w:t xml:space="preserve">4) </w:t>
            </w:r>
            <w:r w:rsidRPr="005D5509">
              <w:rPr>
                <w:b/>
              </w:rPr>
              <w:t>жалпы саны кемінде 10 мың</w:t>
            </w:r>
            <w:r w:rsidRPr="005D5509">
              <w:t xml:space="preserve"> адамды құрайтын жастар арасында нашақорлықтың алдын алуға бағытталған фронт-офистер форматында жобаның  республикалық және 20 өңірлік өкілдіктерінің жұмысын ұйымдастыру және үйлестіру;</w:t>
            </w:r>
          </w:p>
          <w:p w14:paraId="06ED0E5F" w14:textId="600C5C7B" w:rsidR="00290657" w:rsidRPr="005D5509" w:rsidRDefault="00290657" w:rsidP="00D222A6">
            <w:pPr>
              <w:jc w:val="both"/>
            </w:pPr>
            <w:r w:rsidRPr="005D5509">
              <w:t xml:space="preserve">5) вирустық есірткі </w:t>
            </w:r>
            <w:r w:rsidR="00710488">
              <w:rPr>
                <w:lang w:val="kk-KZ"/>
              </w:rPr>
              <w:t>туралы контентті</w:t>
            </w:r>
            <w:r w:rsidR="00710488" w:rsidRPr="005D5509">
              <w:t xml:space="preserve"> </w:t>
            </w:r>
            <w:r w:rsidRPr="005D5509">
              <w:t xml:space="preserve">анықтау және бұғаттау үшін </w:t>
            </w:r>
            <w:r w:rsidR="00710488">
              <w:rPr>
                <w:lang w:val="kk-KZ"/>
              </w:rPr>
              <w:t>и</w:t>
            </w:r>
            <w:r w:rsidR="00710488" w:rsidRPr="005D5509">
              <w:t xml:space="preserve">нтернет </w:t>
            </w:r>
            <w:r w:rsidRPr="005D5509">
              <w:t xml:space="preserve">кеңістігін тұрақты мониторингілеудің цифрлық алгоритмін пайдалану – </w:t>
            </w:r>
            <w:r w:rsidRPr="005D5509">
              <w:rPr>
                <w:b/>
              </w:rPr>
              <w:t xml:space="preserve">жыл </w:t>
            </w:r>
            <w:r w:rsidRPr="005D5509">
              <w:rPr>
                <w:b/>
              </w:rPr>
              <w:lastRenderedPageBreak/>
              <w:t>сайын кемінде 30%</w:t>
            </w:r>
            <w:r w:rsidRPr="005D5509">
              <w:t xml:space="preserve"> </w:t>
            </w:r>
            <w:r w:rsidR="00710488" w:rsidRPr="005D5509">
              <w:t>бұғатта</w:t>
            </w:r>
            <w:r w:rsidR="00710488">
              <w:rPr>
                <w:lang w:val="kk-KZ"/>
              </w:rPr>
              <w:t>й отырып</w:t>
            </w:r>
            <w:r w:rsidR="00710488" w:rsidRPr="005D5509">
              <w:t xml:space="preserve"> </w:t>
            </w:r>
            <w:r w:rsidRPr="005D5509">
              <w:t>кемінде 10 мың фактіні анықтау;</w:t>
            </w:r>
          </w:p>
          <w:p w14:paraId="4F4D1473" w14:textId="484704EB" w:rsidR="00290657" w:rsidRPr="005D5509" w:rsidRDefault="00290657" w:rsidP="00D222A6">
            <w:pPr>
              <w:jc w:val="both"/>
            </w:pPr>
            <w:r w:rsidRPr="005D5509">
              <w:t xml:space="preserve">6) 2025 жылы </w:t>
            </w:r>
            <w:r w:rsidRPr="005D5509">
              <w:rPr>
                <w:b/>
              </w:rPr>
              <w:t xml:space="preserve">жалпы саны </w:t>
            </w:r>
            <w:r w:rsidR="00710488">
              <w:rPr>
                <w:b/>
                <w:lang w:val="kk-KZ"/>
              </w:rPr>
              <w:t xml:space="preserve">кемінде </w:t>
            </w:r>
            <w:r w:rsidRPr="005D5509">
              <w:rPr>
                <w:b/>
              </w:rPr>
              <w:t>2</w:t>
            </w:r>
            <w:r w:rsidRPr="005D5509">
              <w:rPr>
                <w:b/>
                <w:lang w:val="kk-KZ"/>
              </w:rPr>
              <w:t>00</w:t>
            </w:r>
            <w:r w:rsidRPr="005D5509">
              <w:t xml:space="preserve"> </w:t>
            </w:r>
            <w:r w:rsidR="00710488" w:rsidRPr="005D5509">
              <w:t>адам</w:t>
            </w:r>
            <w:r w:rsidR="00710488">
              <w:rPr>
                <w:lang w:val="kk-KZ"/>
              </w:rPr>
              <w:t>ды құрайтын</w:t>
            </w:r>
            <w:r w:rsidRPr="005D5509">
              <w:t xml:space="preserve"> жастар арасында мем</w:t>
            </w:r>
            <w:r w:rsidRPr="005D5509">
              <w:rPr>
                <w:lang w:val="kk-KZ"/>
              </w:rPr>
              <w:t>лекеттік жастар саясаты саласында және</w:t>
            </w:r>
            <w:r w:rsidRPr="005D5509">
              <w:t xml:space="preserve"> нашақорлықтың</w:t>
            </w:r>
            <w:r w:rsidRPr="005D5509">
              <w:rPr>
                <w:lang w:val="kk-KZ"/>
              </w:rPr>
              <w:t>,</w:t>
            </w:r>
            <w:r w:rsidRPr="005D5509">
              <w:t xml:space="preserve"> басқа да заманауи сын-қатерлердің алдын алуға арналған елдердің шетелдік жастар көшбасшыларының және халықаралық ұйымдар өкілдерінің қатысуымен</w:t>
            </w:r>
            <w:r w:rsidRPr="005D5509">
              <w:rPr>
                <w:b/>
              </w:rPr>
              <w:t xml:space="preserve"> 1</w:t>
            </w:r>
            <w:r w:rsidRPr="005D5509">
              <w:t xml:space="preserve"> халықаралық форум/конференция ұйымдастыру және өткізу;</w:t>
            </w:r>
          </w:p>
          <w:p w14:paraId="5B16539F" w14:textId="77777777" w:rsidR="00290657" w:rsidRPr="005D5509" w:rsidRDefault="00290657" w:rsidP="00D222A6">
            <w:pPr>
              <w:jc w:val="both"/>
            </w:pPr>
            <w:r w:rsidRPr="005D5509">
              <w:t>7) қазіргі заманғы дағдыларды, диагностикалық әдістерді және тәуекел тобындағы тұлғалармен мақсатты жұмысты меңгеру мақсатында жастар ресурстық орталықтарының, білім беру ұйымдарының психологтарын, дәрігерлерді даярлау және олардың біліктілігін арттыру –</w:t>
            </w:r>
            <w:r w:rsidRPr="005D5509">
              <w:rPr>
                <w:lang w:val="kk-KZ"/>
              </w:rPr>
              <w:t xml:space="preserve"> </w:t>
            </w:r>
            <w:r w:rsidRPr="005D5509">
              <w:rPr>
                <w:b/>
              </w:rPr>
              <w:t>кемінде 50 адам</w:t>
            </w:r>
            <w:r w:rsidRPr="005D5509">
              <w:t>;</w:t>
            </w:r>
          </w:p>
          <w:p w14:paraId="0292DE6C" w14:textId="6794977E" w:rsidR="00290657" w:rsidRPr="005D5509" w:rsidRDefault="00290657" w:rsidP="00D222A6">
            <w:pPr>
              <w:jc w:val="both"/>
            </w:pPr>
            <w:r w:rsidRPr="005D5509">
              <w:t xml:space="preserve">8) ақпараттық </w:t>
            </w:r>
            <w:r w:rsidR="00710488" w:rsidRPr="005D5509">
              <w:t>материалдар</w:t>
            </w:r>
            <w:r w:rsidR="00710488">
              <w:rPr>
                <w:lang w:val="kk-KZ"/>
              </w:rPr>
              <w:t>мен</w:t>
            </w:r>
            <w:r w:rsidR="00710488" w:rsidRPr="005D5509">
              <w:t xml:space="preserve"> </w:t>
            </w:r>
            <w:r w:rsidRPr="005D5509">
              <w:t>жалпы қамту (бейне форматтағы әлеуметтік жарнама) –</w:t>
            </w:r>
            <w:r w:rsidRPr="005D5509">
              <w:rPr>
                <w:b/>
              </w:rPr>
              <w:t xml:space="preserve">кемінде </w:t>
            </w:r>
            <w:r w:rsidRPr="005D5509">
              <w:rPr>
                <w:b/>
                <w:lang w:val="kk-KZ"/>
              </w:rPr>
              <w:t xml:space="preserve">500,0 мың </w:t>
            </w:r>
            <w:r w:rsidRPr="005D5509">
              <w:t>қаралым;</w:t>
            </w:r>
          </w:p>
          <w:p w14:paraId="576B78AD" w14:textId="5C30EF98" w:rsidR="00290657" w:rsidRPr="005D5509" w:rsidRDefault="00290657" w:rsidP="00D222A6">
            <w:pPr>
              <w:jc w:val="both"/>
            </w:pPr>
            <w:r w:rsidRPr="005D5509">
              <w:rPr>
                <w:lang w:val="kk-KZ"/>
              </w:rPr>
              <w:lastRenderedPageBreak/>
              <w:t>9</w:t>
            </w:r>
            <w:r w:rsidRPr="005D5509">
              <w:t>) жоба идеяларын ілгерілету үшін ұлттық және халықаралық ҮЕҰ</w:t>
            </w:r>
            <w:r w:rsidR="00710488">
              <w:rPr>
                <w:lang w:val="kk-KZ"/>
              </w:rPr>
              <w:t>-мен</w:t>
            </w:r>
            <w:r w:rsidRPr="005D5509">
              <w:t xml:space="preserve"> және оқу орындарымен </w:t>
            </w:r>
            <w:r w:rsidRPr="005D5509">
              <w:rPr>
                <w:b/>
              </w:rPr>
              <w:t>кемінде 20</w:t>
            </w:r>
            <w:r w:rsidRPr="005D5509">
              <w:t xml:space="preserve"> </w:t>
            </w:r>
            <w:r w:rsidR="00710488">
              <w:rPr>
                <w:lang w:val="kk-KZ"/>
              </w:rPr>
              <w:t>әріптестік туралы</w:t>
            </w:r>
            <w:r w:rsidR="00710488" w:rsidRPr="005D5509">
              <w:t xml:space="preserve"> </w:t>
            </w:r>
            <w:r w:rsidRPr="005D5509">
              <w:t>келісім жаса</w:t>
            </w:r>
            <w:r w:rsidR="00710488">
              <w:rPr>
                <w:lang w:val="kk-KZ"/>
              </w:rPr>
              <w:t>с</w:t>
            </w:r>
            <w:r w:rsidRPr="005D5509">
              <w:t>у;</w:t>
            </w:r>
          </w:p>
          <w:p w14:paraId="51015B77" w14:textId="77777777" w:rsidR="00290657" w:rsidRPr="005D5509" w:rsidRDefault="00290657" w:rsidP="00D222A6">
            <w:pPr>
              <w:jc w:val="both"/>
            </w:pPr>
            <w:r w:rsidRPr="005D5509">
              <w:t xml:space="preserve">10) нашақорлықтың тәуекелдері мен теріс салдары туралы хабардар жобаға қатысушылардың үлесі (сауалнама </w:t>
            </w:r>
            <w:r w:rsidRPr="005D5509">
              <w:rPr>
                <w:b/>
              </w:rPr>
              <w:t>нәтижелері бойынша) – жыл сайын кемінде 70%.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42D" w14:textId="77777777" w:rsidR="00290657" w:rsidRPr="005D5509" w:rsidRDefault="00290657" w:rsidP="00D222A6">
            <w:r w:rsidRPr="005D5509">
              <w:lastRenderedPageBreak/>
              <w:t>Жиһазбен бірге кемінде 80 ш.м кеңсе немесе жалға алынған үй-</w:t>
            </w:r>
            <w:r w:rsidRPr="005D5509">
              <w:lastRenderedPageBreak/>
              <w:t>жайдың болуы;</w:t>
            </w:r>
          </w:p>
          <w:p w14:paraId="05BE8410" w14:textId="77777777" w:rsidR="00290657" w:rsidRPr="005D5509" w:rsidRDefault="00290657" w:rsidP="00D222A6">
            <w:r w:rsidRPr="005D5509">
              <w:t>компьютерлер кемінде 3 дана, ақ-қара принтер 1 дана, фотокамера 1 дана, бейнекамера 1 дана;</w:t>
            </w:r>
          </w:p>
        </w:tc>
      </w:tr>
      <w:tr w:rsidR="00290657" w:rsidRPr="00A6534B" w14:paraId="1A818D11" w14:textId="77777777" w:rsidTr="00E90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DC4" w14:textId="77777777" w:rsidR="00290657" w:rsidRPr="005D5509" w:rsidRDefault="00290657" w:rsidP="00D222A6">
            <w:bookmarkStart w:id="0" w:name="_wy5yhsm1n098" w:colFirst="0" w:colLast="0"/>
            <w:bookmarkEnd w:id="0"/>
            <w:r w:rsidRPr="005D5509">
              <w:lastRenderedPageBreak/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E753" w14:textId="77777777" w:rsidR="00290657" w:rsidRPr="005D5509" w:rsidRDefault="00290657" w:rsidP="00D222A6">
            <w:pPr>
              <w:jc w:val="center"/>
            </w:pPr>
            <w:r w:rsidRPr="005D5509">
              <w:t>Жастар саясаты мен балалар бастамаларын қолдау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1CF0" w14:textId="77777777" w:rsidR="00290657" w:rsidRPr="005D5509" w:rsidRDefault="00290657" w:rsidP="00D222A6">
            <w:pPr>
              <w:jc w:val="center"/>
            </w:pPr>
            <w:r w:rsidRPr="005D5509">
              <w:t>Жас ұрпаққа азаматтық-патриоттық тәрбие беру іс-шараларын өткізу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F75" w14:textId="77777777" w:rsidR="00290657" w:rsidRPr="005D5509" w:rsidRDefault="00290657" w:rsidP="00D222A6">
            <w:pPr>
              <w:jc w:val="both"/>
            </w:pPr>
            <w:r w:rsidRPr="005D5509">
              <w:t>Өскелең ұрпаққа азаматтық-патриоттық тәрбие беру мәселесі әрбір ата-ананың, қоғамның, жалпы мемлекеттің алдында тұрған өзекті мәселелердің бірі болып табылады.</w:t>
            </w:r>
          </w:p>
          <w:p w14:paraId="3279E767" w14:textId="5C647721" w:rsidR="00290657" w:rsidRPr="005D5509" w:rsidRDefault="00290657" w:rsidP="00D222A6">
            <w:pPr>
              <w:jc w:val="both"/>
            </w:pPr>
            <w:r w:rsidRPr="005D5509">
              <w:t xml:space="preserve">Қазіргі кезеңде әрбір қазақстандықтың санасын жаңғырту үшін түсінікті, үлкендердің де, жас ұрпақтың да жүрегінен </w:t>
            </w:r>
            <w:r w:rsidR="009B07EA">
              <w:rPr>
                <w:lang w:val="kk-KZ"/>
              </w:rPr>
              <w:t>орын алатын</w:t>
            </w:r>
            <w:r w:rsidR="009B07EA" w:rsidRPr="005D5509">
              <w:t xml:space="preserve"> </w:t>
            </w:r>
            <w:r w:rsidRPr="005D5509">
              <w:t>ортақ идеологиялар талап етіледі.</w:t>
            </w:r>
          </w:p>
          <w:p w14:paraId="09AF237A" w14:textId="62615F45" w:rsidR="00290657" w:rsidRPr="005D5509" w:rsidRDefault="00290657" w:rsidP="00D222A6">
            <w:pPr>
              <w:jc w:val="both"/>
            </w:pPr>
            <w:r w:rsidRPr="005D5509">
              <w:t>Патриоттық сезімді қалыптастыру патриоттық акциялар мен байқаулар жүйесі, қоғамдық-саяси, ұлттық-мәдени, мемлекеттік мерекелер</w:t>
            </w:r>
            <w:r w:rsidR="009B07EA">
              <w:rPr>
                <w:lang w:val="kk-KZ"/>
              </w:rPr>
              <w:t xml:space="preserve"> өткізу</w:t>
            </w:r>
            <w:r w:rsidRPr="005D5509">
              <w:t>, әскери-патриоттық клубтардың жұмысы арқылы жүзеге асырылады.</w:t>
            </w:r>
          </w:p>
          <w:p w14:paraId="1EF0B69F" w14:textId="15DAB52C" w:rsidR="00290657" w:rsidRPr="005D5509" w:rsidRDefault="00290657" w:rsidP="00D222A6">
            <w:pPr>
              <w:jc w:val="both"/>
            </w:pPr>
            <w:r w:rsidRPr="005D5509">
              <w:t xml:space="preserve">Осыған байланысты </w:t>
            </w:r>
            <w:r w:rsidR="009B07EA">
              <w:rPr>
                <w:lang w:val="kk-KZ"/>
              </w:rPr>
              <w:t>аталған бағытты</w:t>
            </w:r>
            <w:r w:rsidRPr="005D5509">
              <w:t xml:space="preserve"> дамыту үшін жүйелі </w:t>
            </w:r>
            <w:r w:rsidR="009B07EA">
              <w:rPr>
                <w:lang w:val="kk-KZ"/>
              </w:rPr>
              <w:t>және жоспарлы</w:t>
            </w:r>
            <w:r w:rsidRPr="005D5509">
              <w:t xml:space="preserve"> жұмыс қажет.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730" w14:textId="77777777" w:rsidR="00290657" w:rsidRPr="005D5509" w:rsidRDefault="00290657" w:rsidP="00D222A6"/>
          <w:p w14:paraId="2F0CA379" w14:textId="77777777" w:rsidR="00290657" w:rsidRPr="005D5509" w:rsidRDefault="00290657" w:rsidP="00D222A6">
            <w:pPr>
              <w:jc w:val="center"/>
            </w:pPr>
            <w:r w:rsidRPr="005D5509">
              <w:t xml:space="preserve">2025 </w:t>
            </w:r>
            <w:r w:rsidRPr="005D5509">
              <w:rPr>
                <w:lang w:val="kk-KZ"/>
              </w:rPr>
              <w:t>жыл</w:t>
            </w:r>
            <w:r w:rsidRPr="005D5509">
              <w:t xml:space="preserve"> -</w:t>
            </w:r>
          </w:p>
          <w:p w14:paraId="12E813EE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50 000 </w:t>
            </w:r>
            <w:r w:rsidRPr="005D5509">
              <w:rPr>
                <w:lang w:val="kk-KZ"/>
              </w:rPr>
              <w:t xml:space="preserve">мың </w:t>
            </w:r>
            <w:r w:rsidRPr="005D5509">
              <w:rPr>
                <w:bCs/>
              </w:rPr>
              <w:t>тг;</w:t>
            </w:r>
          </w:p>
          <w:p w14:paraId="6C514310" w14:textId="77777777" w:rsidR="00290657" w:rsidRPr="005D5509" w:rsidRDefault="00290657" w:rsidP="00D222A6">
            <w:pPr>
              <w:jc w:val="center"/>
            </w:pPr>
          </w:p>
          <w:p w14:paraId="0486A019" w14:textId="77777777" w:rsidR="00290657" w:rsidRPr="005D5509" w:rsidRDefault="00290657" w:rsidP="00D222A6">
            <w:pPr>
              <w:jc w:val="center"/>
            </w:pPr>
            <w:r w:rsidRPr="005D5509">
              <w:t>2026</w:t>
            </w:r>
            <w:r w:rsidRPr="005D5509">
              <w:rPr>
                <w:lang w:val="kk-KZ"/>
              </w:rPr>
              <w:t xml:space="preserve"> жыл</w:t>
            </w:r>
            <w:r w:rsidRPr="005D5509">
              <w:t xml:space="preserve"> -</w:t>
            </w:r>
          </w:p>
          <w:p w14:paraId="3BB8861F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50 000 </w:t>
            </w:r>
            <w:r w:rsidRPr="005D5509">
              <w:rPr>
                <w:lang w:val="kk-KZ"/>
              </w:rPr>
              <w:t xml:space="preserve">мың </w:t>
            </w:r>
            <w:r w:rsidRPr="005D5509">
              <w:rPr>
                <w:bCs/>
              </w:rPr>
              <w:t>тг;</w:t>
            </w:r>
          </w:p>
          <w:p w14:paraId="30FE1F17" w14:textId="77777777" w:rsidR="00290657" w:rsidRPr="005D5509" w:rsidRDefault="00290657" w:rsidP="00D222A6">
            <w:pPr>
              <w:jc w:val="center"/>
            </w:pPr>
          </w:p>
          <w:p w14:paraId="1FFB884E" w14:textId="77777777" w:rsidR="00290657" w:rsidRPr="005D5509" w:rsidRDefault="00290657" w:rsidP="00D222A6">
            <w:pPr>
              <w:jc w:val="center"/>
            </w:pPr>
            <w:r w:rsidRPr="005D5509">
              <w:t>2027 жыл  -</w:t>
            </w:r>
          </w:p>
          <w:p w14:paraId="0FA8CEBD" w14:textId="77777777" w:rsidR="00290657" w:rsidRPr="005D5509" w:rsidRDefault="00290657" w:rsidP="00D222A6">
            <w:pPr>
              <w:jc w:val="both"/>
              <w:rPr>
                <w:bCs/>
              </w:rPr>
            </w:pPr>
            <w:r w:rsidRPr="005D5509">
              <w:t xml:space="preserve">50 000 </w:t>
            </w:r>
            <w:r w:rsidRPr="005D5509">
              <w:rPr>
                <w:lang w:val="kk-KZ"/>
              </w:rPr>
              <w:t xml:space="preserve">мың </w:t>
            </w:r>
            <w:r w:rsidRPr="005D5509">
              <w:rPr>
                <w:bCs/>
              </w:rPr>
              <w:t>тг</w:t>
            </w:r>
          </w:p>
          <w:p w14:paraId="5A0FD730" w14:textId="77777777" w:rsidR="00290657" w:rsidRPr="005D5509" w:rsidRDefault="00290657" w:rsidP="00D222A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44EC" w14:textId="4CA7EF65" w:rsidR="00290657" w:rsidRPr="00D222A6" w:rsidRDefault="00290657" w:rsidP="00D222A6">
            <w:pPr>
              <w:jc w:val="center"/>
              <w:rPr>
                <w:lang w:val="kk-KZ"/>
              </w:rPr>
            </w:pPr>
            <w:r w:rsidRPr="005D5509">
              <w:t>1 ұзақ мерзімді</w:t>
            </w:r>
            <w:r w:rsidR="00D222A6">
              <w:rPr>
                <w:lang w:val="kk-KZ"/>
              </w:rPr>
              <w:t xml:space="preserve"> грант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EE92" w14:textId="02651036" w:rsidR="00290657" w:rsidRPr="00E01713" w:rsidRDefault="009B7178" w:rsidP="00D222A6">
            <w:pPr>
              <w:jc w:val="both"/>
              <w:rPr>
                <w:b/>
                <w:lang w:val="kk-KZ"/>
              </w:rPr>
            </w:pPr>
            <w:r w:rsidRPr="00E01713">
              <w:rPr>
                <w:b/>
                <w:lang w:val="kk-KZ"/>
              </w:rPr>
              <w:t xml:space="preserve">Нысаналы индикаторлар </w:t>
            </w:r>
            <w:r w:rsidR="00290657" w:rsidRPr="00E01713">
              <w:rPr>
                <w:b/>
                <w:lang w:val="kk-KZ"/>
              </w:rPr>
              <w:t>:</w:t>
            </w:r>
          </w:p>
          <w:p w14:paraId="37A432E7" w14:textId="65737DDA" w:rsidR="00290657" w:rsidRPr="00E01713" w:rsidRDefault="00290657" w:rsidP="00D222A6">
            <w:pPr>
              <w:jc w:val="both"/>
              <w:rPr>
                <w:lang w:val="kk-KZ"/>
              </w:rPr>
            </w:pPr>
            <w:r w:rsidRPr="00E01713">
              <w:rPr>
                <w:lang w:val="kk-KZ"/>
              </w:rPr>
              <w:t xml:space="preserve">1) </w:t>
            </w:r>
            <w:r w:rsidRPr="00E01713">
              <w:rPr>
                <w:b/>
                <w:lang w:val="kk-KZ"/>
              </w:rPr>
              <w:t>жалпы саны</w:t>
            </w:r>
            <w:r w:rsidR="009B07EA">
              <w:rPr>
                <w:b/>
                <w:lang w:val="kk-KZ"/>
              </w:rPr>
              <w:t xml:space="preserve"> кемінде</w:t>
            </w:r>
            <w:r w:rsidRPr="00E01713">
              <w:rPr>
                <w:b/>
                <w:lang w:val="kk-KZ"/>
              </w:rPr>
              <w:t xml:space="preserve"> 200 адам</w:t>
            </w:r>
            <w:r w:rsidR="009B07EA">
              <w:rPr>
                <w:b/>
                <w:lang w:val="kk-KZ"/>
              </w:rPr>
              <w:t xml:space="preserve">ды қамтитын </w:t>
            </w:r>
            <w:r w:rsidRPr="00EB0F37">
              <w:rPr>
                <w:lang w:val="kk-KZ"/>
              </w:rPr>
              <w:t>мемлекеттік жастар саясаты саласында</w:t>
            </w:r>
            <w:r w:rsidR="009B07EA" w:rsidRPr="00EB0F37">
              <w:rPr>
                <w:lang w:val="kk-KZ"/>
              </w:rPr>
              <w:t>, сондай-ақ</w:t>
            </w:r>
            <w:r w:rsidR="009B07EA">
              <w:rPr>
                <w:b/>
                <w:lang w:val="kk-KZ"/>
              </w:rPr>
              <w:t xml:space="preserve"> </w:t>
            </w:r>
            <w:r w:rsidRPr="005D5509">
              <w:rPr>
                <w:b/>
                <w:lang w:val="kk-KZ"/>
              </w:rPr>
              <w:t xml:space="preserve"> </w:t>
            </w:r>
            <w:r w:rsidRPr="00E01713">
              <w:rPr>
                <w:lang w:val="kk-KZ"/>
              </w:rPr>
              <w:t xml:space="preserve">жастарды азаматтық-патриоттық тәрбиелеу мәселелеріне арналған Түркі мемлекеттерінің шетелдік жас көшбасшыларының қатысуымен </w:t>
            </w:r>
            <w:r w:rsidRPr="005D5509">
              <w:rPr>
                <w:lang w:val="kk-KZ"/>
              </w:rPr>
              <w:t>1</w:t>
            </w:r>
            <w:r w:rsidRPr="00E01713">
              <w:rPr>
                <w:lang w:val="kk-KZ"/>
              </w:rPr>
              <w:t xml:space="preserve"> халықаралық форум/байқау/конференц</w:t>
            </w:r>
            <w:r w:rsidRPr="005D5509">
              <w:rPr>
                <w:lang w:val="kk-KZ"/>
              </w:rPr>
              <w:t>и</w:t>
            </w:r>
            <w:r w:rsidRPr="00E01713">
              <w:rPr>
                <w:lang w:val="kk-KZ"/>
              </w:rPr>
              <w:t>я ұйымдастыру және өткізу;</w:t>
            </w:r>
          </w:p>
          <w:p w14:paraId="314195EB" w14:textId="6FF73FA1" w:rsidR="00290657" w:rsidRPr="00E01713" w:rsidRDefault="00290657" w:rsidP="00D222A6">
            <w:pPr>
              <w:jc w:val="both"/>
              <w:rPr>
                <w:lang w:val="kk-KZ"/>
              </w:rPr>
            </w:pPr>
            <w:r w:rsidRPr="00E01713">
              <w:rPr>
                <w:lang w:val="kk-KZ"/>
              </w:rPr>
              <w:t xml:space="preserve">2) жалпы саны </w:t>
            </w:r>
            <w:r w:rsidR="001C1A95">
              <w:rPr>
                <w:lang w:val="kk-KZ"/>
              </w:rPr>
              <w:t xml:space="preserve">кемінде </w:t>
            </w:r>
            <w:r w:rsidRPr="00E01713">
              <w:rPr>
                <w:b/>
                <w:lang w:val="kk-KZ"/>
              </w:rPr>
              <w:t>1 мың адам</w:t>
            </w:r>
            <w:r w:rsidR="001C1A95">
              <w:rPr>
                <w:b/>
                <w:lang w:val="kk-KZ"/>
              </w:rPr>
              <w:t xml:space="preserve">ды қамтыған </w:t>
            </w:r>
            <w:r w:rsidRPr="00E01713">
              <w:rPr>
                <w:lang w:val="kk-KZ"/>
              </w:rPr>
              <w:t xml:space="preserve">жастардың азаматтық-патриоттық санасын </w:t>
            </w:r>
            <w:r w:rsidR="001C1A95">
              <w:rPr>
                <w:lang w:val="kk-KZ"/>
              </w:rPr>
              <w:t>көтеруге</w:t>
            </w:r>
            <w:r w:rsidR="001C1A95" w:rsidRPr="00E01713">
              <w:rPr>
                <w:lang w:val="kk-KZ"/>
              </w:rPr>
              <w:t xml:space="preserve"> </w:t>
            </w:r>
            <w:r w:rsidRPr="00E01713">
              <w:rPr>
                <w:lang w:val="kk-KZ"/>
              </w:rPr>
              <w:t xml:space="preserve">бағытталған еліміздің </w:t>
            </w:r>
            <w:r w:rsidRPr="00E01713">
              <w:rPr>
                <w:b/>
                <w:lang w:val="kk-KZ"/>
              </w:rPr>
              <w:t>20</w:t>
            </w:r>
            <w:r w:rsidRPr="00E01713">
              <w:rPr>
                <w:lang w:val="kk-KZ"/>
              </w:rPr>
              <w:t xml:space="preserve"> өңірінен келген делегацияның қатысуымен </w:t>
            </w:r>
            <w:r w:rsidRPr="00E01713">
              <w:rPr>
                <w:b/>
                <w:lang w:val="kk-KZ"/>
              </w:rPr>
              <w:t xml:space="preserve">3 </w:t>
            </w:r>
            <w:r w:rsidRPr="00E01713">
              <w:rPr>
                <w:lang w:val="kk-KZ"/>
              </w:rPr>
              <w:t xml:space="preserve">республикалық </w:t>
            </w:r>
            <w:r w:rsidRPr="00E01713">
              <w:rPr>
                <w:lang w:val="kk-KZ"/>
              </w:rPr>
              <w:lastRenderedPageBreak/>
              <w:t>форум/фестиваль/байқау ұйымдастыру және өткізу;</w:t>
            </w:r>
          </w:p>
          <w:p w14:paraId="3C213595" w14:textId="5B140224" w:rsidR="00290657" w:rsidRPr="00E01713" w:rsidRDefault="00290657" w:rsidP="00D222A6">
            <w:pPr>
              <w:jc w:val="both"/>
              <w:rPr>
                <w:lang w:val="kk-KZ"/>
              </w:rPr>
            </w:pPr>
            <w:r w:rsidRPr="00E01713">
              <w:rPr>
                <w:lang w:val="kk-KZ"/>
              </w:rPr>
              <w:t xml:space="preserve">3) </w:t>
            </w:r>
            <w:r w:rsidR="001C1A95" w:rsidRPr="00E01713">
              <w:rPr>
                <w:b/>
                <w:lang w:val="kk-KZ"/>
              </w:rPr>
              <w:t>кемінде 100 мың</w:t>
            </w:r>
            <w:r w:rsidR="001C1A95" w:rsidRPr="00E01713">
              <w:rPr>
                <w:lang w:val="kk-KZ"/>
              </w:rPr>
              <w:t xml:space="preserve"> адамды қамти отырып жастар арасында </w:t>
            </w:r>
            <w:r w:rsidRPr="00E01713">
              <w:rPr>
                <w:lang w:val="kk-KZ"/>
              </w:rPr>
              <w:t xml:space="preserve">ұлттық тарих пен мәдениетті танымал ету үшін кем дегенде </w:t>
            </w:r>
            <w:r w:rsidRPr="00E01713">
              <w:rPr>
                <w:b/>
                <w:lang w:val="kk-KZ"/>
              </w:rPr>
              <w:t>10</w:t>
            </w:r>
            <w:r w:rsidRPr="00E01713">
              <w:rPr>
                <w:lang w:val="kk-KZ"/>
              </w:rPr>
              <w:t xml:space="preserve"> цифрлық бастаманы (VR турлары, геймификация, мобильді қосымшалар, виртуалды мұражай немесе онлайн экскурсиялар, онлайн платформалар, YouTube, TikTok және Instagram-дағы тақырыптық контент және т.б.) іске қосу;</w:t>
            </w:r>
          </w:p>
          <w:p w14:paraId="61116D78" w14:textId="29A30D60" w:rsidR="00290657" w:rsidRPr="00E01713" w:rsidRDefault="00290657" w:rsidP="00D222A6">
            <w:pPr>
              <w:jc w:val="both"/>
              <w:rPr>
                <w:lang w:val="kk-KZ"/>
              </w:rPr>
            </w:pPr>
            <w:r w:rsidRPr="00E01713">
              <w:rPr>
                <w:lang w:val="kk-KZ"/>
              </w:rPr>
              <w:t>4) жоба шеңберінде жастарды қоғамдық пайдалы қызметке, волонтерлік</w:t>
            </w:r>
            <w:r w:rsidR="001C1A95">
              <w:rPr>
                <w:lang w:val="kk-KZ"/>
              </w:rPr>
              <w:t>ке,</w:t>
            </w:r>
            <w:r w:rsidRPr="00E01713">
              <w:rPr>
                <w:lang w:val="kk-KZ"/>
              </w:rPr>
              <w:t xml:space="preserve"> қайырымдылық</w:t>
            </w:r>
            <w:r w:rsidR="001C1A95">
              <w:rPr>
                <w:lang w:val="kk-KZ"/>
              </w:rPr>
              <w:t>қа</w:t>
            </w:r>
            <w:r w:rsidRPr="00E01713">
              <w:rPr>
                <w:lang w:val="kk-KZ"/>
              </w:rPr>
              <w:t xml:space="preserve"> және басқа да қоғамдық іс-шараларға тарту деңгейі –</w:t>
            </w:r>
            <w:r w:rsidRPr="00E01713">
              <w:rPr>
                <w:b/>
                <w:lang w:val="kk-KZ"/>
              </w:rPr>
              <w:t>кемінде 50</w:t>
            </w:r>
            <w:r w:rsidRPr="00E01713">
              <w:rPr>
                <w:lang w:val="kk-KZ"/>
              </w:rPr>
              <w:t xml:space="preserve"> </w:t>
            </w:r>
            <w:r w:rsidRPr="00E01713">
              <w:rPr>
                <w:b/>
                <w:lang w:val="kk-KZ"/>
              </w:rPr>
              <w:t>мың</w:t>
            </w:r>
            <w:r w:rsidRPr="00E01713">
              <w:rPr>
                <w:lang w:val="kk-KZ"/>
              </w:rPr>
              <w:t>;</w:t>
            </w:r>
          </w:p>
          <w:p w14:paraId="74A17459" w14:textId="77777777" w:rsidR="00290657" w:rsidRPr="00E01713" w:rsidRDefault="00290657" w:rsidP="00D222A6">
            <w:pPr>
              <w:jc w:val="both"/>
              <w:rPr>
                <w:lang w:val="kk-KZ"/>
              </w:rPr>
            </w:pPr>
            <w:r w:rsidRPr="00E01713">
              <w:rPr>
                <w:lang w:val="kk-KZ"/>
              </w:rPr>
              <w:t xml:space="preserve">5) көрнекті тарихи тұлғалардың мерейтойларына, ұлттық және мемлекеттік мерекелерге арналған бірегей жастар патриоттық іс-шараларын өткізу – жыл сайын </w:t>
            </w:r>
            <w:r w:rsidRPr="00E01713">
              <w:rPr>
                <w:b/>
                <w:lang w:val="kk-KZ"/>
              </w:rPr>
              <w:t>кемінде 10</w:t>
            </w:r>
            <w:r w:rsidRPr="00E01713">
              <w:rPr>
                <w:lang w:val="kk-KZ"/>
              </w:rPr>
              <w:t>;</w:t>
            </w:r>
          </w:p>
          <w:p w14:paraId="70F97FC7" w14:textId="77777777" w:rsidR="00290657" w:rsidRPr="00E01713" w:rsidRDefault="00290657" w:rsidP="00D222A6">
            <w:pPr>
              <w:jc w:val="both"/>
              <w:rPr>
                <w:lang w:val="kk-KZ"/>
              </w:rPr>
            </w:pPr>
            <w:r w:rsidRPr="00E01713">
              <w:rPr>
                <w:lang w:val="kk-KZ"/>
              </w:rPr>
              <w:t xml:space="preserve">6) іске асыруды ресурстық қолдауды қамтамасыз ету үшін жалпыға бірдей дауыс беру арқылы </w:t>
            </w:r>
            <w:r w:rsidRPr="00E01713">
              <w:rPr>
                <w:b/>
                <w:lang w:val="kk-KZ"/>
              </w:rPr>
              <w:t>кемінде 10</w:t>
            </w:r>
            <w:r w:rsidRPr="00E01713">
              <w:rPr>
                <w:lang w:val="kk-KZ"/>
              </w:rPr>
              <w:t xml:space="preserve"> үздік жобаны таңдай отырып, жыл сайын патриотизмді және </w:t>
            </w:r>
            <w:r w:rsidRPr="00E01713">
              <w:rPr>
                <w:lang w:val="kk-KZ"/>
              </w:rPr>
              <w:lastRenderedPageBreak/>
              <w:t xml:space="preserve">азаматтық белсенділікті дамыту мақсатында жастардан кемінде </w:t>
            </w:r>
            <w:r w:rsidRPr="00E01713">
              <w:rPr>
                <w:b/>
                <w:lang w:val="kk-KZ"/>
              </w:rPr>
              <w:t>100</w:t>
            </w:r>
            <w:r w:rsidRPr="00E01713">
              <w:rPr>
                <w:lang w:val="kk-KZ"/>
              </w:rPr>
              <w:t xml:space="preserve"> идея мен ұсыныстар жинағы</w:t>
            </w:r>
            <w:r w:rsidRPr="005D5509">
              <w:rPr>
                <w:lang w:val="kk-KZ"/>
              </w:rPr>
              <w:t>н</w:t>
            </w:r>
            <w:r w:rsidRPr="00E01713">
              <w:rPr>
                <w:lang w:val="kk-KZ"/>
              </w:rPr>
              <w:t xml:space="preserve"> (конкурс) ұйымдастыру;</w:t>
            </w:r>
          </w:p>
          <w:p w14:paraId="2EA7E277" w14:textId="77777777" w:rsidR="00290657" w:rsidRPr="00E01713" w:rsidRDefault="00290657" w:rsidP="00D222A6">
            <w:pPr>
              <w:jc w:val="both"/>
              <w:rPr>
                <w:lang w:val="kk-KZ"/>
              </w:rPr>
            </w:pPr>
            <w:r w:rsidRPr="00E01713">
              <w:rPr>
                <w:lang w:val="kk-KZ"/>
              </w:rPr>
              <w:t xml:space="preserve">7) мемлекеттік рәміздерді (Конституцияны, Туды, Елтаңбаны, Әнұранды) құрметтейтін жастардың үлесі (сауалнама нәтижелері бойынша) – </w:t>
            </w:r>
            <w:r w:rsidRPr="00E01713">
              <w:rPr>
                <w:b/>
                <w:lang w:val="kk-KZ"/>
              </w:rPr>
              <w:t>кемінде 70 %</w:t>
            </w:r>
            <w:r w:rsidRPr="00E01713">
              <w:rPr>
                <w:lang w:val="kk-KZ"/>
              </w:rPr>
              <w:t>;</w:t>
            </w:r>
          </w:p>
          <w:p w14:paraId="79A7BBBB" w14:textId="77777777" w:rsidR="00290657" w:rsidRPr="00E01713" w:rsidRDefault="00290657" w:rsidP="00D222A6">
            <w:pPr>
              <w:pStyle w:val="a8"/>
              <w:ind w:left="0"/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8</w:t>
            </w:r>
            <w:r w:rsidRPr="00E01713">
              <w:rPr>
                <w:lang w:val="kk-KZ"/>
              </w:rPr>
              <w:t xml:space="preserve">) ұлттық институттарға (әскерге, мемлекеттік органдарға, қоғамдық ұйымдарға) сенім білдіретін жастардың үлесі (сауалнама нәтижелері бойынша) – </w:t>
            </w:r>
            <w:r w:rsidRPr="00E01713">
              <w:rPr>
                <w:b/>
                <w:lang w:val="kk-KZ"/>
              </w:rPr>
              <w:t>кемінде 70%</w:t>
            </w:r>
            <w:r w:rsidRPr="00E01713">
              <w:rPr>
                <w:lang w:val="kk-KZ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03B" w14:textId="77777777" w:rsidR="00290657" w:rsidRPr="00E01713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 xml:space="preserve">- </w:t>
            </w:r>
            <w:r w:rsidRPr="00E01713">
              <w:rPr>
                <w:lang w:val="kk-KZ"/>
              </w:rPr>
              <w:t>мемлекеттік және орыс тілдеріндегі оқулықтар</w:t>
            </w:r>
          </w:p>
          <w:p w14:paraId="6B7C1577" w14:textId="77777777" w:rsidR="00290657" w:rsidRPr="00E01713" w:rsidRDefault="00290657" w:rsidP="00D222A6">
            <w:pPr>
              <w:jc w:val="both"/>
              <w:rPr>
                <w:lang w:val="kk-KZ"/>
              </w:rPr>
            </w:pPr>
            <w:r w:rsidRPr="00E01713">
              <w:rPr>
                <w:lang w:val="kk-KZ"/>
              </w:rPr>
              <w:t>- азаматтарды патриоттық және рухани-адамгершілікке тәрбиелеу мәселелері бойынша мемлекеттік және орыс тілдеріндегі білім беру бағдарламалары;</w:t>
            </w:r>
          </w:p>
          <w:p w14:paraId="125074DD" w14:textId="77777777" w:rsidR="00290657" w:rsidRPr="00E01713" w:rsidRDefault="00290657" w:rsidP="00D222A6">
            <w:pPr>
              <w:jc w:val="both"/>
              <w:rPr>
                <w:lang w:val="kk-KZ"/>
              </w:rPr>
            </w:pPr>
            <w:r w:rsidRPr="00E01713">
              <w:rPr>
                <w:lang w:val="kk-KZ"/>
              </w:rPr>
              <w:t xml:space="preserve">- </w:t>
            </w:r>
            <w:r w:rsidRPr="00E01713">
              <w:rPr>
                <w:b/>
                <w:lang w:val="kk-KZ"/>
              </w:rPr>
              <w:t>кем дегенде 3</w:t>
            </w:r>
            <w:r w:rsidRPr="00E01713">
              <w:rPr>
                <w:lang w:val="kk-KZ"/>
              </w:rPr>
              <w:t xml:space="preserve"> аймақта учаскелердің </w:t>
            </w:r>
            <w:r w:rsidRPr="00E01713">
              <w:rPr>
                <w:lang w:val="kk-KZ"/>
              </w:rPr>
              <w:lastRenderedPageBreak/>
              <w:t>немесе үй-жайлардың болуы</w:t>
            </w:r>
          </w:p>
          <w:p w14:paraId="339FF4DD" w14:textId="77777777" w:rsidR="00290657" w:rsidRPr="00E01713" w:rsidRDefault="00290657" w:rsidP="00D222A6">
            <w:pPr>
              <w:jc w:val="both"/>
              <w:rPr>
                <w:lang w:val="kk-KZ"/>
              </w:rPr>
            </w:pPr>
          </w:p>
        </w:tc>
      </w:tr>
      <w:tr w:rsidR="00290657" w:rsidRPr="00A6534B" w14:paraId="4238C7E1" w14:textId="77777777" w:rsidTr="00E90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34A" w14:textId="77777777" w:rsidR="00290657" w:rsidRPr="005D5509" w:rsidRDefault="00290657" w:rsidP="00D222A6">
            <w:pPr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DF9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Отбасылық-демографиялық және гендерлік мәселелерді шешуге жәрдемдесу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4F78" w14:textId="6F44DDBC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rFonts w:eastAsia="Calibri"/>
                <w:spacing w:val="2"/>
                <w:shd w:val="clear" w:color="auto" w:fill="FFFFFF"/>
                <w:lang w:val="kk-KZ" w:eastAsia="en-US"/>
              </w:rPr>
              <w:t>Отбасын қолдау орталықтар</w:t>
            </w:r>
            <w:r w:rsidR="00AC40F0">
              <w:rPr>
                <w:rFonts w:eastAsia="Calibri"/>
                <w:spacing w:val="2"/>
                <w:shd w:val="clear" w:color="auto" w:fill="FFFFFF"/>
                <w:lang w:val="kk-KZ" w:eastAsia="en-US"/>
              </w:rPr>
              <w:t xml:space="preserve">ы үшін </w:t>
            </w:r>
            <w:r w:rsidRPr="005D5509">
              <w:rPr>
                <w:rFonts w:eastAsia="Calibri"/>
                <w:spacing w:val="2"/>
                <w:shd w:val="clear" w:color="auto" w:fill="FFFFFF"/>
                <w:lang w:val="kk-KZ" w:eastAsia="en-US"/>
              </w:rPr>
              <w:t xml:space="preserve"> онлайн психологиялық қызметті ұйымдастыру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BA8" w14:textId="2AE637B2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Ағымдағы жылғы 16 маусымда «Қазақстан Республикасының кейбір заңнамалық актілеріне әйелдер құқықтары мен балалардың қауіпсіздігін қамтамасыз ету мәселелері бойынша өзгерістер мен толықтырулар енгізу туралы» (№ 72-VIII ҚРЗ) және «Қазақстан Республикасының Әкімшілік құқық бұзушылық туралы </w:t>
            </w:r>
            <w:r w:rsidR="00AC40F0">
              <w:rPr>
                <w:lang w:val="kk-KZ"/>
              </w:rPr>
              <w:t>к</w:t>
            </w:r>
            <w:r w:rsidR="00AC40F0" w:rsidRPr="005D5509">
              <w:rPr>
                <w:lang w:val="kk-KZ"/>
              </w:rPr>
              <w:t xml:space="preserve">одексіне </w:t>
            </w:r>
            <w:r w:rsidRPr="005D5509">
              <w:rPr>
                <w:lang w:val="kk-KZ"/>
              </w:rPr>
              <w:t xml:space="preserve">әйелдер құқықтары мен балалардың қауіпсіздігін қамтамасыз ету мәселелері бойынша өзгерістер мен толықтырулар енгізу туралы» Қазақстан Республикасының </w:t>
            </w:r>
            <w:r w:rsidR="00AC40F0">
              <w:rPr>
                <w:lang w:val="kk-KZ"/>
              </w:rPr>
              <w:t>з</w:t>
            </w:r>
            <w:r w:rsidR="00AC40F0" w:rsidRPr="005D5509">
              <w:rPr>
                <w:lang w:val="kk-KZ"/>
              </w:rPr>
              <w:t xml:space="preserve">аңдары </w:t>
            </w:r>
            <w:r w:rsidRPr="005D5509">
              <w:rPr>
                <w:lang w:val="kk-KZ"/>
              </w:rPr>
              <w:t>күшіне енді (№ 73-VIII ҚРЗ) (бұдан әрі – заңдар).</w:t>
            </w:r>
          </w:p>
          <w:p w14:paraId="7B76766F" w14:textId="5CF37F0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 xml:space="preserve">Мәдениет және ақпарат министрлігі мемлекеттік отбасы саясаты саласындағы уәкілетті орган ретінде заңмен </w:t>
            </w:r>
            <w:r w:rsidR="00AC40F0">
              <w:rPr>
                <w:lang w:val="kk-KZ"/>
              </w:rPr>
              <w:t>айқындалған</w:t>
            </w:r>
            <w:r w:rsidRPr="005D5509">
              <w:rPr>
                <w:lang w:val="kk-KZ"/>
              </w:rPr>
              <w:t>.</w:t>
            </w:r>
          </w:p>
          <w:p w14:paraId="0AAA6854" w14:textId="045D27CF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Заңдарды іске асыру үшін Министрлік отбасын қолдау орталықтарының қызметін жүзеге асыру қағидаларын (МАМ-ның 2024 жылғы</w:t>
            </w:r>
            <w:r w:rsidR="00AC40F0">
              <w:rPr>
                <w:lang w:val="kk-KZ"/>
              </w:rPr>
              <w:t xml:space="preserve"> 14 маусымдағы</w:t>
            </w:r>
            <w:r w:rsidRPr="005D5509">
              <w:rPr>
                <w:lang w:val="kk-KZ"/>
              </w:rPr>
              <w:t xml:space="preserve"> №256 бұйрығы) әзірледі, соған сәйкес Министрлік отбасын қолдау орталықтарының (бұдан әрі-ОҚО) қызметін үйлестіруді және әдістемелік басшылықты қамтамасыз етеді. </w:t>
            </w:r>
          </w:p>
          <w:p w14:paraId="4671167D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ОҚО мемлекеттік отбасылық саясат шараларын, оның ішінде неке мен отбасын сақтау, отбасылық жанжалдарды шешу, тұрмыстық зорлық-зомбылықтың алдын алу шараларын іске асырады, өмірлік қиын жағдайға тап болған адамдарды (отбасыларды) қолдаумен қамту жөніндегі жұмысты үйлестіреді. Бүгінгі таңда олардың саны 48, 2027 жылға дейін олардың санын 200-ге дейін жеткізу жоспарлануда. </w:t>
            </w:r>
          </w:p>
          <w:p w14:paraId="7B78872F" w14:textId="4098346E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Егер өткен жылы ОҚО-</w:t>
            </w:r>
            <w:r w:rsidR="00AC40F0">
              <w:rPr>
                <w:lang w:val="kk-KZ"/>
              </w:rPr>
              <w:t>д</w:t>
            </w:r>
            <w:r w:rsidR="00AC40F0" w:rsidRPr="005D5509">
              <w:rPr>
                <w:lang w:val="kk-KZ"/>
              </w:rPr>
              <w:t xml:space="preserve">а </w:t>
            </w:r>
            <w:r w:rsidRPr="005D5509">
              <w:rPr>
                <w:lang w:val="kk-KZ"/>
              </w:rPr>
              <w:t>100 мыңнан астам консультация берілсе, онда жыл басынан бері (қаңтар-қыркүйек) консультациялар саны үш есе</w:t>
            </w:r>
            <w:r w:rsidR="00AC40F0">
              <w:rPr>
                <w:lang w:val="kk-KZ"/>
              </w:rPr>
              <w:t>ге</w:t>
            </w:r>
            <w:r w:rsidRPr="005D5509">
              <w:rPr>
                <w:lang w:val="kk-KZ"/>
              </w:rPr>
              <w:t>, 100 мыңнан 300 мыңға дейін өсті. Бұл орталықтардың қызметтеріне сұраныстың артуы және олардың халық үшін өзектілігі туралы айтады.</w:t>
            </w:r>
          </w:p>
          <w:p w14:paraId="59E704BE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>Мұндай өсу орталықтардың әртүрлі бағыттар бойынша кеңес алуды қажет ететін азаматтар үшін маңызды ресурсқа айналғанын көрсетеді.</w:t>
            </w:r>
          </w:p>
          <w:p w14:paraId="0EADD1CE" w14:textId="2A202CD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Халықтың сұранысын ескере отырып, онлайн психологиялық қызметтерді ұйымдастыру, сондай-ақ </w:t>
            </w:r>
            <w:r w:rsidR="00AC40F0">
              <w:rPr>
                <w:lang w:val="kk-KZ"/>
              </w:rPr>
              <w:t>қолдау көрсетілген</w:t>
            </w:r>
            <w:r w:rsidR="00AC40F0" w:rsidRPr="005D5509">
              <w:rPr>
                <w:lang w:val="kk-KZ"/>
              </w:rPr>
              <w:t xml:space="preserve"> </w:t>
            </w:r>
            <w:r w:rsidRPr="005D5509">
              <w:rPr>
                <w:lang w:val="kk-KZ"/>
              </w:rPr>
              <w:t>отбасылар үшін психологиялық тренингтер өткізу және Отбасын қолдау орталықтарында жұмыс істейтін психологтардың біліктілігін арттыру бойынша қажетті шараларды тұрақты негізде жүргізу ұсынылады.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B13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>2025 жыл -</w:t>
            </w:r>
          </w:p>
          <w:p w14:paraId="3C223D6E" w14:textId="77777777" w:rsidR="00290657" w:rsidRPr="005D5509" w:rsidRDefault="00290657" w:rsidP="00D222A6">
            <w:pPr>
              <w:jc w:val="both"/>
              <w:rPr>
                <w:bCs/>
                <w:lang w:val="kk-KZ"/>
              </w:rPr>
            </w:pPr>
            <w:r w:rsidRPr="005D5509">
              <w:rPr>
                <w:lang w:val="kk-KZ"/>
              </w:rPr>
              <w:t xml:space="preserve">50 000 </w:t>
            </w:r>
            <w:r w:rsidRPr="005D5509">
              <w:rPr>
                <w:bCs/>
                <w:lang w:val="kk-KZ"/>
              </w:rPr>
              <w:t>мың.тг.;</w:t>
            </w:r>
          </w:p>
          <w:p w14:paraId="089B8386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</w:p>
          <w:p w14:paraId="511167FF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2026 жыл -</w:t>
            </w:r>
          </w:p>
          <w:p w14:paraId="23CF83F2" w14:textId="77777777" w:rsidR="00290657" w:rsidRPr="005D5509" w:rsidRDefault="00290657" w:rsidP="00D222A6">
            <w:pPr>
              <w:jc w:val="both"/>
              <w:rPr>
                <w:bCs/>
                <w:lang w:val="kk-KZ"/>
              </w:rPr>
            </w:pPr>
            <w:r w:rsidRPr="005D5509">
              <w:rPr>
                <w:lang w:val="kk-KZ"/>
              </w:rPr>
              <w:t xml:space="preserve">50 000 </w:t>
            </w:r>
            <w:r w:rsidRPr="005D5509">
              <w:rPr>
                <w:bCs/>
                <w:lang w:val="kk-KZ"/>
              </w:rPr>
              <w:t>мың.тг.;</w:t>
            </w:r>
          </w:p>
          <w:p w14:paraId="6B059A60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</w:p>
          <w:p w14:paraId="51004F4F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2027 жыл -</w:t>
            </w:r>
          </w:p>
          <w:p w14:paraId="13EF5C0C" w14:textId="77777777" w:rsidR="00290657" w:rsidRPr="005D5509" w:rsidRDefault="00290657" w:rsidP="00D222A6">
            <w:pPr>
              <w:jc w:val="both"/>
              <w:rPr>
                <w:bCs/>
                <w:lang w:val="kk-KZ"/>
              </w:rPr>
            </w:pPr>
            <w:r w:rsidRPr="005D5509">
              <w:rPr>
                <w:lang w:val="kk-KZ"/>
              </w:rPr>
              <w:t xml:space="preserve">50 000 </w:t>
            </w:r>
            <w:r w:rsidRPr="005D5509">
              <w:rPr>
                <w:bCs/>
                <w:lang w:val="kk-KZ"/>
              </w:rPr>
              <w:t>мың.тг.;</w:t>
            </w:r>
          </w:p>
          <w:p w14:paraId="60AB03BC" w14:textId="77777777" w:rsidR="00290657" w:rsidRPr="005D5509" w:rsidRDefault="00290657" w:rsidP="00D222A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929" w14:textId="0AD174C6" w:rsidR="00290657" w:rsidRPr="005D5509" w:rsidRDefault="00290657" w:rsidP="00D222A6">
            <w:pPr>
              <w:jc w:val="center"/>
            </w:pPr>
            <w:r w:rsidRPr="005D5509">
              <w:rPr>
                <w:lang w:val="kk-KZ"/>
              </w:rPr>
              <w:t>1 ұзақ мерзімді</w:t>
            </w:r>
            <w:r w:rsidR="00D222A6">
              <w:rPr>
                <w:lang w:val="kk-KZ"/>
              </w:rPr>
              <w:t xml:space="preserve"> грант</w:t>
            </w:r>
            <w:r w:rsidRPr="005D5509">
              <w:rPr>
                <w:lang w:val="kk-KZ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904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  <w:r w:rsidRPr="005D5509">
              <w:rPr>
                <w:b/>
                <w:lang w:val="kk-KZ"/>
              </w:rPr>
              <w:t xml:space="preserve">Нысаналы индикатор: </w:t>
            </w:r>
          </w:p>
          <w:p w14:paraId="473CF776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1. Қызметтерге қанағаттану деңгейі кемінде 85% (клиенттердің сауалнамалары арқылы бағалау).</w:t>
            </w:r>
          </w:p>
          <w:p w14:paraId="08EE5132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2.</w:t>
            </w:r>
            <w:r w:rsidRPr="005D5509">
              <w:rPr>
                <w:lang w:val="kk-KZ"/>
              </w:rPr>
              <w:tab/>
              <w:t>Клиенттердің кем дегенде 20% - ы консультациялардан кейін отбасылық қатынастардың ұзақ мерзімді жақсарғанын хабарлайды (6 айдан кейін сауалнамалар арқылы бағалау).</w:t>
            </w:r>
          </w:p>
          <w:p w14:paraId="39ADB126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3.</w:t>
            </w:r>
            <w:r w:rsidRPr="005D5509">
              <w:rPr>
                <w:lang w:val="kk-KZ"/>
              </w:rPr>
              <w:tab/>
              <w:t xml:space="preserve">Жаңа әдістемелерді енгізе отырып, жыл сайын </w:t>
            </w:r>
            <w:r w:rsidRPr="005D5509">
              <w:rPr>
                <w:lang w:val="kk-KZ"/>
              </w:rPr>
              <w:lastRenderedPageBreak/>
              <w:t>кемінде 50 психологтың біліктілігін арттыру.</w:t>
            </w:r>
          </w:p>
          <w:p w14:paraId="5771CB4E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  <w:r w:rsidRPr="005D5509">
              <w:rPr>
                <w:lang w:val="kk-KZ"/>
              </w:rPr>
              <w:t xml:space="preserve">4. Ақпараттық қамту - 2 млн. </w:t>
            </w:r>
          </w:p>
          <w:p w14:paraId="43915AA2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</w:p>
          <w:p w14:paraId="3A4ED6E3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  <w:r w:rsidRPr="005D5509">
              <w:rPr>
                <w:b/>
                <w:lang w:val="kk-KZ"/>
              </w:rPr>
              <w:t>Күтілетін нәтиже:</w:t>
            </w:r>
          </w:p>
          <w:p w14:paraId="7D969ABA" w14:textId="2F64F585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1) әртүрлі өмірлік </w:t>
            </w:r>
            <w:r w:rsidR="0071266B">
              <w:rPr>
                <w:lang w:val="kk-KZ"/>
              </w:rPr>
              <w:t>жағдайлар</w:t>
            </w:r>
            <w:r w:rsidRPr="005D5509">
              <w:rPr>
                <w:lang w:val="kk-KZ"/>
              </w:rPr>
              <w:t xml:space="preserve"> бойынша отбасыларға онлайн психологиялық кеңес беру.  </w:t>
            </w:r>
          </w:p>
          <w:p w14:paraId="15BAD0BA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Көрсетілетін қызметтердің сапасын және клиенттердің қанағаттану деңгейін ай сайынғы бағалау.</w:t>
            </w:r>
          </w:p>
          <w:p w14:paraId="3AE62C7D" w14:textId="77777777" w:rsidR="00290657" w:rsidRPr="005D5509" w:rsidRDefault="00290657" w:rsidP="00D222A6">
            <w:pPr>
              <w:jc w:val="both"/>
              <w:rPr>
                <w:color w:val="FF0000"/>
                <w:lang w:val="kk-KZ"/>
              </w:rPr>
            </w:pPr>
            <w:r w:rsidRPr="005D5509">
              <w:rPr>
                <w:lang w:val="kk-KZ"/>
              </w:rPr>
              <w:t xml:space="preserve">2) отбасын қолдау орталықтары психологтарының кәсіби құзыреттерін арттыру. </w:t>
            </w:r>
          </w:p>
          <w:p w14:paraId="2B4584BD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3) отбасылар мен отбасын қолдау орталықтарының қызметкерлері үшін бірқатар іс-шаралар (тренингтер, дөңгелек үстелдер, коучинг-сессиялар) өткізу.</w:t>
            </w:r>
          </w:p>
          <w:p w14:paraId="25020B85" w14:textId="4F2BB8BF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4) Отбасын қолдау орталықтары базасында білікті </w:t>
            </w:r>
            <w:r w:rsidR="0071266B">
              <w:rPr>
                <w:lang w:val="kk-KZ"/>
              </w:rPr>
              <w:t xml:space="preserve">тренерлерді </w:t>
            </w:r>
            <w:r w:rsidRPr="005D5509">
              <w:rPr>
                <w:lang w:val="kk-KZ"/>
              </w:rPr>
              <w:t xml:space="preserve">тарта отырып, некеге тұрған ерлі-зайыптыларға арналған оқыту курстарын іске қосу; </w:t>
            </w:r>
          </w:p>
          <w:p w14:paraId="5A80C462" w14:textId="5B5B5186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5) отбасын қолдау орталықтарының қызметі туралы халықтың хабардар</w:t>
            </w:r>
            <w:r w:rsidR="0071266B">
              <w:rPr>
                <w:lang w:val="kk-KZ"/>
              </w:rPr>
              <w:t xml:space="preserve"> болуын</w:t>
            </w:r>
            <w:r w:rsidRPr="005D5509">
              <w:rPr>
                <w:lang w:val="kk-KZ"/>
              </w:rPr>
              <w:t xml:space="preserve"> арттыру мақсатында ақпараттық-түсіндіру жұмысы.</w:t>
            </w:r>
          </w:p>
          <w:p w14:paraId="18FABFFE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553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sz w:val="22"/>
                <w:szCs w:val="22"/>
                <w:lang w:val="kk-KZ"/>
              </w:rPr>
              <w:lastRenderedPageBreak/>
              <w:t xml:space="preserve">Жеке немесе жалға берілетін үй - жайдың кемінде 3 өңірде болуы; конференц-залдар, ноутбуктер немесе стационарлық компьютерлер кемінде 3, қара-ақ принтерлер кемінде 2, түрлі-түсті </w:t>
            </w:r>
            <w:r w:rsidRPr="005D5509">
              <w:rPr>
                <w:sz w:val="22"/>
                <w:szCs w:val="22"/>
                <w:lang w:val="kk-KZ"/>
              </w:rPr>
              <w:lastRenderedPageBreak/>
              <w:t>принтер-1, қалааралық немесе қалалық байланыс үшін нөмірі бар телефон-кемінде 2</w:t>
            </w:r>
          </w:p>
        </w:tc>
      </w:tr>
      <w:tr w:rsidR="00290657" w:rsidRPr="00A6534B" w14:paraId="272ABBBA" w14:textId="77777777" w:rsidTr="00E90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DB4" w14:textId="77777777" w:rsidR="00290657" w:rsidRPr="005D5509" w:rsidRDefault="00290657" w:rsidP="00D222A6">
            <w:pPr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97F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Отбасылық-демографиялық және гендерлік мәселелерді шешуге жәрдемдесу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570" w14:textId="70DECCF9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Медиа</w:t>
            </w:r>
            <w:r w:rsidR="0071266B">
              <w:rPr>
                <w:lang w:val="kk-KZ"/>
              </w:rPr>
              <w:t>да ілгерілету</w:t>
            </w:r>
            <w:r w:rsidRPr="005D5509">
              <w:rPr>
                <w:lang w:val="kk-KZ"/>
              </w:rPr>
              <w:t xml:space="preserve">  арқылы  тұрмыстық зорлық-зомбылықтың алдын алу және профилактикасы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D89" w14:textId="2E6A628C" w:rsidR="00290657" w:rsidRPr="005D5509" w:rsidRDefault="00290657" w:rsidP="00D222A6">
            <w:pPr>
              <w:jc w:val="both"/>
              <w:rPr>
                <w:rFonts w:eastAsia="Calibri"/>
                <w:i/>
                <w:lang w:val="kk-KZ"/>
              </w:rPr>
            </w:pPr>
            <w:r w:rsidRPr="005D5509">
              <w:rPr>
                <w:rFonts w:eastAsia="Calibri"/>
                <w:lang w:val="kk-KZ"/>
              </w:rPr>
              <w:t xml:space="preserve">Тұрмыстық зорлық-зомбылықтың </w:t>
            </w:r>
            <w:r w:rsidR="0071266B">
              <w:rPr>
                <w:rFonts w:eastAsia="Calibri"/>
                <w:lang w:val="kk-KZ"/>
              </w:rPr>
              <w:t>профилактикасы</w:t>
            </w:r>
            <w:r w:rsidRPr="005D5509">
              <w:rPr>
                <w:rFonts w:eastAsia="Calibri"/>
                <w:lang w:val="kk-KZ"/>
              </w:rPr>
              <w:t xml:space="preserve"> Қазақстан Республикасында 2030 жылға дейінгі отбасылық және гендерлік саясат тұжырымдамасын іске асырудың негізгі тәсілдерінің бірі болып айқындалды </w:t>
            </w:r>
            <w:r w:rsidRPr="005D5509">
              <w:rPr>
                <w:rFonts w:eastAsia="Calibri"/>
                <w:i/>
                <w:lang w:val="kk-KZ"/>
              </w:rPr>
              <w:t xml:space="preserve">(ҚР Президентінің 2016 жылғы 6 желтоқсандағы № 384 Жарлығы). </w:t>
            </w:r>
          </w:p>
          <w:p w14:paraId="108C8E10" w14:textId="1191CB54" w:rsidR="00290657" w:rsidRPr="005D5509" w:rsidRDefault="0071266B" w:rsidP="00D222A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БАҚ</w:t>
            </w:r>
            <w:r w:rsidR="00290657" w:rsidRPr="005D5509">
              <w:rPr>
                <w:rFonts w:eastAsia="Calibri"/>
                <w:lang w:val="kk-KZ"/>
              </w:rPr>
              <w:t>, әлеуметтік желілер, әлеуметтік жарнама арқылы тұрмыстық зорлық-зомбылықтың алдын алу бойынша мемлекеттің қолданыстағы шаралары туралы халықтың жалпы хабардар</w:t>
            </w:r>
            <w:r>
              <w:rPr>
                <w:rFonts w:eastAsia="Calibri"/>
                <w:lang w:val="kk-KZ"/>
              </w:rPr>
              <w:t xml:space="preserve"> болуын</w:t>
            </w:r>
            <w:r w:rsidR="00290657" w:rsidRPr="005D5509">
              <w:rPr>
                <w:rFonts w:eastAsia="Calibri"/>
                <w:lang w:val="kk-KZ"/>
              </w:rPr>
              <w:t xml:space="preserve"> арттыру міндеті қойылды. </w:t>
            </w:r>
          </w:p>
          <w:p w14:paraId="7B32C59D" w14:textId="21321788" w:rsidR="00290657" w:rsidRPr="005D5509" w:rsidRDefault="00290657" w:rsidP="00D222A6">
            <w:pPr>
              <w:jc w:val="both"/>
              <w:rPr>
                <w:rFonts w:eastAsia="Calibri"/>
                <w:lang w:val="kk-KZ"/>
              </w:rPr>
            </w:pPr>
            <w:r w:rsidRPr="005D5509">
              <w:rPr>
                <w:rFonts w:eastAsia="Calibri"/>
                <w:lang w:val="kk-KZ"/>
              </w:rPr>
              <w:t xml:space="preserve">Тұрмыстық зорлық-зомбылықтың алдын алу жөніндегі саясатты қайта қарау, әйелдер мен балалардың құқықтарын қорғау жөніндегі шараларды заңнамалық күшейту, сондай-ақ отбасылық құндылықтарды </w:t>
            </w:r>
            <w:r w:rsidRPr="005D5509">
              <w:rPr>
                <w:rFonts w:eastAsia="Calibri"/>
                <w:lang w:val="kk-KZ"/>
              </w:rPr>
              <w:lastRenderedPageBreak/>
              <w:t xml:space="preserve">ілгерілету жөніндегі жол картасында </w:t>
            </w:r>
            <w:r w:rsidRPr="005D5509">
              <w:rPr>
                <w:rFonts w:eastAsia="Calibri"/>
                <w:i/>
                <w:lang w:val="kk-KZ"/>
              </w:rPr>
              <w:t>(Премьер-Министрдің орынбасары Т. Дүйсенова 2023 жылғы 28 тамызда бекіткен № 16-14/04-591//23-01-7.3 (2.24-тармақ)</w:t>
            </w:r>
            <w:r w:rsidRPr="005D5509">
              <w:rPr>
                <w:rFonts w:eastAsia="Calibri"/>
                <w:lang w:val="kk-KZ"/>
              </w:rPr>
              <w:t xml:space="preserve"> ақпараттық-түсіндіру жұмысы жеке тарау ретінде қарастырылған. </w:t>
            </w:r>
            <w:r w:rsidR="0071266B">
              <w:rPr>
                <w:rFonts w:eastAsia="Calibri"/>
                <w:lang w:val="kk-KZ"/>
              </w:rPr>
              <w:t>Аталған</w:t>
            </w:r>
            <w:r w:rsidR="0071266B" w:rsidRPr="005D5509">
              <w:rPr>
                <w:rFonts w:eastAsia="Calibri"/>
                <w:lang w:val="kk-KZ"/>
              </w:rPr>
              <w:t xml:space="preserve"> </w:t>
            </w:r>
            <w:r w:rsidRPr="005D5509">
              <w:rPr>
                <w:rFonts w:eastAsia="Calibri"/>
                <w:lang w:val="kk-KZ"/>
              </w:rPr>
              <w:t>бағытта</w:t>
            </w:r>
            <w:r w:rsidR="0071266B">
              <w:rPr>
                <w:rFonts w:eastAsia="Calibri"/>
                <w:lang w:val="kk-KZ"/>
              </w:rPr>
              <w:t>ғы</w:t>
            </w:r>
            <w:r w:rsidRPr="005D5509">
              <w:rPr>
                <w:rFonts w:eastAsia="Calibri"/>
                <w:lang w:val="kk-KZ"/>
              </w:rPr>
              <w:t xml:space="preserve"> жұмысты күшейту қажет. </w:t>
            </w:r>
          </w:p>
          <w:p w14:paraId="65D41503" w14:textId="77777777" w:rsidR="00290657" w:rsidRPr="005D5509" w:rsidRDefault="00290657" w:rsidP="00D222A6">
            <w:pPr>
              <w:jc w:val="both"/>
              <w:rPr>
                <w:rFonts w:eastAsia="Calibri"/>
                <w:lang w:val="kk-KZ"/>
              </w:rPr>
            </w:pPr>
            <w:r w:rsidRPr="005D5509">
              <w:rPr>
                <w:rFonts w:eastAsia="Calibri"/>
                <w:lang w:val="kk-KZ"/>
              </w:rPr>
              <w:t xml:space="preserve">«Қазақстан Республикасының кейбір заңнамалық актілеріне әйелдер құқықтары мен балалардың қауіпсіздігін қамтамасыз ету мәселелері бойынша өзгерістер мен толықтырулар енгізу туралы» Қазақстан Республикасының Заңымен (2024 жылғы 15 сәуірдегі № 72-VIII ҚРЗ) тұрмыстық зорлық-зомбылық саласындағы құқық бұзушылықтар үшін жазалар күшейтілді. </w:t>
            </w:r>
          </w:p>
          <w:p w14:paraId="14371365" w14:textId="77777777" w:rsidR="00290657" w:rsidRPr="005D5509" w:rsidRDefault="00290657" w:rsidP="00D222A6">
            <w:pPr>
              <w:jc w:val="both"/>
              <w:rPr>
                <w:rFonts w:eastAsia="Calibri"/>
                <w:lang w:val="kk-KZ"/>
              </w:rPr>
            </w:pPr>
            <w:r w:rsidRPr="005D5509">
              <w:rPr>
                <w:rFonts w:eastAsia="Calibri"/>
                <w:lang w:val="kk-KZ"/>
              </w:rPr>
              <w:t>Бас прокуратураның Құқықтық статистика және арнайы есепке алу комитетінің ақпараты бойынша 2017 жылдан бастап отбасылық-тұрмыстық саладағы қылмыстық құқық бұзушылықтарды тіркеу динамикасы келесідей. 2017-2020 жылдар кезеңінде қылмыстық құқық бұзушылықтар санының артуы байқалады (2017 – 446, 2018 – 919, 2019 – 1055, 2020 – 1073); 2021-2023 жылдар кезеңінде қылмыстық құқық бұзушылықтар санының азаюы байқалады (2021 – 1047, 2022 – 942, 2023 – 923).</w:t>
            </w:r>
          </w:p>
          <w:p w14:paraId="1FEFD479" w14:textId="77777777" w:rsidR="00290657" w:rsidRPr="005D5509" w:rsidRDefault="00290657" w:rsidP="00D222A6">
            <w:pPr>
              <w:jc w:val="both"/>
              <w:rPr>
                <w:rFonts w:eastAsia="Calibri"/>
                <w:lang w:val="kk-KZ"/>
              </w:rPr>
            </w:pPr>
            <w:r w:rsidRPr="005D5509">
              <w:rPr>
                <w:rFonts w:eastAsia="Calibri"/>
                <w:lang w:val="kk-KZ"/>
              </w:rPr>
              <w:lastRenderedPageBreak/>
              <w:t>Сонымен қатар, ресми статистика бұл мәселенің толық бейнесін бермейді.</w:t>
            </w:r>
          </w:p>
          <w:p w14:paraId="4EB6E412" w14:textId="12B25754" w:rsidR="00290657" w:rsidRPr="005D5509" w:rsidRDefault="00290657" w:rsidP="00D222A6">
            <w:pPr>
              <w:jc w:val="both"/>
              <w:rPr>
                <w:rFonts w:eastAsia="Calibri"/>
                <w:lang w:val="kk-KZ"/>
              </w:rPr>
            </w:pPr>
            <w:r w:rsidRPr="005D5509">
              <w:rPr>
                <w:rFonts w:eastAsia="Calibri"/>
                <w:lang w:val="kk-KZ"/>
              </w:rPr>
              <w:t>«Қазақстан Республикасын</w:t>
            </w:r>
            <w:r w:rsidR="0071266B">
              <w:rPr>
                <w:rFonts w:eastAsia="Calibri"/>
                <w:lang w:val="kk-KZ"/>
              </w:rPr>
              <w:t>д</w:t>
            </w:r>
            <w:r w:rsidRPr="005D5509">
              <w:rPr>
                <w:rFonts w:eastAsia="Calibri"/>
                <w:lang w:val="kk-KZ"/>
              </w:rPr>
              <w:t>а отбасылық-тұрмыстық зорлық-зомбылыққа қарсы іс-қимыл туралы» ұлттық баяндаманың деректері бойынша (2023 жыл) «Біздің ел</w:t>
            </w:r>
            <w:r w:rsidR="0071266B">
              <w:rPr>
                <w:rFonts w:eastAsia="Calibri"/>
                <w:lang w:val="kk-KZ"/>
              </w:rPr>
              <w:t>імізде</w:t>
            </w:r>
            <w:r w:rsidRPr="005D5509">
              <w:rPr>
                <w:rFonts w:eastAsia="Calibri"/>
                <w:lang w:val="kk-KZ"/>
              </w:rPr>
              <w:t xml:space="preserve"> отбасындағы зорлық-зомбылық (отбасылық-тұрмыстық немесе тұрмыстық зорлық-зомбылық деп аталады)</w:t>
            </w:r>
            <w:r w:rsidR="0071266B">
              <w:rPr>
                <w:rFonts w:eastAsia="Calibri"/>
                <w:lang w:val="kk-KZ"/>
              </w:rPr>
              <w:t xml:space="preserve"> проблемасы бар ма</w:t>
            </w:r>
            <w:r w:rsidRPr="005D5509">
              <w:rPr>
                <w:rFonts w:eastAsia="Calibri"/>
                <w:lang w:val="kk-KZ"/>
              </w:rPr>
              <w:t xml:space="preserve">» </w:t>
            </w:r>
            <w:r w:rsidR="0071266B">
              <w:rPr>
                <w:rFonts w:eastAsia="Calibri"/>
                <w:lang w:val="kk-KZ"/>
              </w:rPr>
              <w:t xml:space="preserve">деген </w:t>
            </w:r>
            <w:r w:rsidRPr="005D5509">
              <w:rPr>
                <w:rFonts w:eastAsia="Calibri"/>
                <w:lang w:val="kk-KZ"/>
              </w:rPr>
              <w:t>сұра</w:t>
            </w:r>
            <w:r w:rsidR="0071266B">
              <w:rPr>
                <w:rFonts w:eastAsia="Calibri"/>
                <w:lang w:val="kk-KZ"/>
              </w:rPr>
              <w:t xml:space="preserve">ққа </w:t>
            </w:r>
            <w:r w:rsidRPr="005D5509">
              <w:rPr>
                <w:rFonts w:eastAsia="Calibri"/>
                <w:lang w:val="kk-KZ"/>
              </w:rPr>
              <w:t xml:space="preserve">респонденттердің 74,0%-ы «иә, көбінесе әйелдерге қатысты» деп жауап берді. </w:t>
            </w:r>
          </w:p>
          <w:p w14:paraId="595876A1" w14:textId="77777777" w:rsidR="00290657" w:rsidRPr="005D5509" w:rsidRDefault="00290657" w:rsidP="00D222A6">
            <w:pPr>
              <w:jc w:val="both"/>
              <w:rPr>
                <w:rFonts w:eastAsia="Calibri"/>
                <w:lang w:val="kk-KZ"/>
              </w:rPr>
            </w:pPr>
            <w:r w:rsidRPr="005D5509">
              <w:rPr>
                <w:rFonts w:eastAsia="Calibri"/>
                <w:lang w:val="kk-KZ"/>
              </w:rPr>
              <w:t>Отбасындағы зорлық-зомбылықтың негізгі себептері зиянды әдеттер (алкоголизм, нашақорлық, құмар ойындар) – 55,3%, әлеуметтік-экономикалық сипаттағы проблемалар – 47,6%, тұрақты табыстың болмауы (агрессорда) – 29,2%.</w:t>
            </w:r>
          </w:p>
          <w:p w14:paraId="31CBF480" w14:textId="365539B0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rFonts w:eastAsia="Calibri"/>
                <w:lang w:val="kk-KZ"/>
              </w:rPr>
              <w:t xml:space="preserve">Қоғамда тұрмыстық зорлық-зомбылықтың алдын алу және </w:t>
            </w:r>
            <w:r w:rsidR="0071266B">
              <w:rPr>
                <w:rFonts w:eastAsia="Calibri"/>
                <w:lang w:val="kk-KZ"/>
              </w:rPr>
              <w:t>профилактикасы</w:t>
            </w:r>
            <w:r w:rsidRPr="005D5509">
              <w:rPr>
                <w:rFonts w:eastAsia="Calibri"/>
                <w:lang w:val="kk-KZ"/>
              </w:rPr>
              <w:t xml:space="preserve"> бойынша кең ақпараттық жұмыс жүргізу отбасылардағы зорлық-зомбылық фактілерін азайтуға және тұрмыстық зорлық-зомбылыққа </w:t>
            </w:r>
            <w:r w:rsidR="0071266B">
              <w:rPr>
                <w:rFonts w:eastAsia="Calibri"/>
                <w:lang w:val="kk-KZ"/>
              </w:rPr>
              <w:t>мүлдем</w:t>
            </w:r>
            <w:r w:rsidRPr="005D5509">
              <w:rPr>
                <w:rFonts w:eastAsia="Calibri"/>
                <w:lang w:val="kk-KZ"/>
              </w:rPr>
              <w:t xml:space="preserve"> </w:t>
            </w:r>
            <w:r w:rsidR="0071266B" w:rsidRPr="005D5509">
              <w:rPr>
                <w:rFonts w:eastAsia="Calibri"/>
                <w:lang w:val="kk-KZ"/>
              </w:rPr>
              <w:t>төз</w:t>
            </w:r>
            <w:r w:rsidR="0071266B">
              <w:rPr>
                <w:rFonts w:eastAsia="Calibri"/>
                <w:lang w:val="kk-KZ"/>
              </w:rPr>
              <w:t>беушілікті</w:t>
            </w:r>
            <w:r w:rsidR="0071266B" w:rsidRPr="005D5509">
              <w:rPr>
                <w:rFonts w:eastAsia="Calibri"/>
                <w:lang w:val="kk-KZ"/>
              </w:rPr>
              <w:t xml:space="preserve"> </w:t>
            </w:r>
            <w:r w:rsidRPr="005D5509">
              <w:rPr>
                <w:rFonts w:eastAsia="Calibri"/>
                <w:lang w:val="kk-KZ"/>
              </w:rPr>
              <w:t>қалыптастыруға айтарлықтай әсер етеді.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AF8F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>2025 жыл -</w:t>
            </w:r>
          </w:p>
          <w:p w14:paraId="6FAEF1B7" w14:textId="77777777" w:rsidR="00290657" w:rsidRPr="005D5509" w:rsidRDefault="00290657" w:rsidP="00D222A6">
            <w:pPr>
              <w:jc w:val="both"/>
              <w:rPr>
                <w:bCs/>
                <w:lang w:val="kk-KZ"/>
              </w:rPr>
            </w:pPr>
            <w:r w:rsidRPr="005D5509">
              <w:rPr>
                <w:lang w:val="kk-KZ"/>
              </w:rPr>
              <w:t xml:space="preserve">50 000 </w:t>
            </w:r>
            <w:r w:rsidRPr="005D5509">
              <w:rPr>
                <w:bCs/>
                <w:lang w:val="kk-KZ"/>
              </w:rPr>
              <w:t>мың.тг.;</w:t>
            </w:r>
          </w:p>
          <w:p w14:paraId="257BE18F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</w:p>
          <w:p w14:paraId="1C88E9F7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2026 жыл -</w:t>
            </w:r>
          </w:p>
          <w:p w14:paraId="4B84795A" w14:textId="77777777" w:rsidR="00290657" w:rsidRPr="005D5509" w:rsidRDefault="00290657" w:rsidP="00D222A6">
            <w:pPr>
              <w:jc w:val="both"/>
              <w:rPr>
                <w:bCs/>
                <w:lang w:val="kk-KZ"/>
              </w:rPr>
            </w:pPr>
            <w:r w:rsidRPr="005D5509">
              <w:rPr>
                <w:lang w:val="kk-KZ"/>
              </w:rPr>
              <w:t xml:space="preserve">50 000 </w:t>
            </w:r>
            <w:r w:rsidRPr="005D5509">
              <w:rPr>
                <w:bCs/>
                <w:lang w:val="kk-KZ"/>
              </w:rPr>
              <w:t>мың.тг.;</w:t>
            </w:r>
          </w:p>
          <w:p w14:paraId="34305C9E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</w:p>
          <w:p w14:paraId="3E5DFAF5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2027 жыл -</w:t>
            </w:r>
          </w:p>
          <w:p w14:paraId="36714F83" w14:textId="77777777" w:rsidR="00290657" w:rsidRPr="005D5509" w:rsidRDefault="00290657" w:rsidP="00D222A6">
            <w:pPr>
              <w:jc w:val="both"/>
              <w:rPr>
                <w:bCs/>
                <w:lang w:val="kk-KZ"/>
              </w:rPr>
            </w:pPr>
            <w:r w:rsidRPr="005D5509">
              <w:rPr>
                <w:lang w:val="kk-KZ"/>
              </w:rPr>
              <w:t xml:space="preserve">50 000 </w:t>
            </w:r>
            <w:r w:rsidRPr="005D5509">
              <w:rPr>
                <w:bCs/>
                <w:lang w:val="kk-KZ"/>
              </w:rPr>
              <w:t>мың.тг.;</w:t>
            </w:r>
          </w:p>
          <w:p w14:paraId="34042B82" w14:textId="77777777" w:rsidR="00290657" w:rsidRPr="005D5509" w:rsidRDefault="00290657" w:rsidP="00D222A6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8AE" w14:textId="4B714F7B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1 ұзақ мерзімді</w:t>
            </w:r>
            <w:r w:rsidR="00D222A6">
              <w:rPr>
                <w:lang w:val="kk-KZ"/>
              </w:rPr>
              <w:t xml:space="preserve"> грант</w:t>
            </w:r>
            <w:r w:rsidRPr="005D5509">
              <w:rPr>
                <w:lang w:val="kk-KZ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581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  <w:r w:rsidRPr="005D5509">
              <w:rPr>
                <w:b/>
                <w:lang w:val="kk-KZ"/>
              </w:rPr>
              <w:t>Нысаналы индикатор:</w:t>
            </w:r>
          </w:p>
          <w:p w14:paraId="0A91DBD8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1.Халықты ақпараттық қамту-кемінде 2 млн (оның ішінде көріністер, лайктар, пікірлер, репост).   </w:t>
            </w:r>
          </w:p>
          <w:p w14:paraId="18ABA91D" w14:textId="648EC918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Әрбір жарияланым кем дегенде 1000 лайк пен 500 </w:t>
            </w:r>
            <w:r w:rsidR="0071266B">
              <w:rPr>
                <w:lang w:val="kk-KZ"/>
              </w:rPr>
              <w:t>комментарий</w:t>
            </w:r>
            <w:r w:rsidR="0071266B" w:rsidRPr="005D5509">
              <w:rPr>
                <w:lang w:val="kk-KZ"/>
              </w:rPr>
              <w:t xml:space="preserve"> </w:t>
            </w:r>
            <w:r w:rsidR="0071266B">
              <w:rPr>
                <w:lang w:val="kk-KZ"/>
              </w:rPr>
              <w:t>жинауы тиіс</w:t>
            </w:r>
            <w:r w:rsidRPr="005D5509">
              <w:rPr>
                <w:lang w:val="kk-KZ"/>
              </w:rPr>
              <w:t xml:space="preserve"> (боттар емес, тірі адамдар).</w:t>
            </w:r>
          </w:p>
          <w:p w14:paraId="0C83877E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2. Оқыту материалдары ретінде пайдаланылған кемінде 30 табысты кейс (Жетістік тарихы) өткізу.</w:t>
            </w:r>
          </w:p>
          <w:p w14:paraId="2CF1AAF7" w14:textId="39BE95A2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3.</w:t>
            </w:r>
            <w:r w:rsidRPr="005D5509">
              <w:rPr>
                <w:lang w:val="kk-KZ"/>
              </w:rPr>
              <w:tab/>
              <w:t xml:space="preserve">Қатысушылардың зорлық-зомбылықты </w:t>
            </w:r>
            <w:r w:rsidR="0071266B">
              <w:rPr>
                <w:lang w:val="kk-KZ"/>
              </w:rPr>
              <w:t>болдырмау</w:t>
            </w:r>
            <w:r w:rsidRPr="005D5509">
              <w:rPr>
                <w:lang w:val="kk-KZ"/>
              </w:rPr>
              <w:t xml:space="preserve"> әдістері туралы хабардар болу деңгейі (сауалнама қорытындылары бойынша кемінде 80%).  </w:t>
            </w:r>
          </w:p>
          <w:p w14:paraId="4E38966D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</w:p>
          <w:p w14:paraId="6BEFC57C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  <w:r w:rsidRPr="005D5509">
              <w:rPr>
                <w:b/>
                <w:lang w:val="kk-KZ"/>
              </w:rPr>
              <w:lastRenderedPageBreak/>
              <w:t>Күтілетін нәтиже:</w:t>
            </w:r>
          </w:p>
          <w:p w14:paraId="687829D8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1) Құзыретті сарапшыларды, белгілі тұлғаларды тарта отырып, өңірлік және республикалық БАҚ-та және әлеуметтік желілерде тұрмыстық зорлық-зомбылықтың, буллинг, харассменттің алдын алу және оған мүлдем төзбеушілік мәселелері бойынша түрлі форматтағы медиа-өнімдерді (посттар, инфографика, бейнероликтер, подкасттар және т. б.) дайындау және ілгерілету; </w:t>
            </w:r>
          </w:p>
          <w:p w14:paraId="64EA30CA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51BD6E79" w14:textId="506967A2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2) </w:t>
            </w:r>
            <w:r w:rsidR="00C509CB" w:rsidRPr="005D5509">
              <w:rPr>
                <w:lang w:val="kk-KZ"/>
              </w:rPr>
              <w:t xml:space="preserve">отбасылық-тұрмыстық зорлық-зомбылықтың, буллингтің, харассменттің </w:t>
            </w:r>
            <w:r w:rsidR="00C509CB">
              <w:rPr>
                <w:lang w:val="kk-KZ"/>
              </w:rPr>
              <w:t>профилактикасы</w:t>
            </w:r>
            <w:r w:rsidR="00C509CB" w:rsidRPr="005D5509">
              <w:rPr>
                <w:lang w:val="kk-KZ"/>
              </w:rPr>
              <w:t xml:space="preserve"> және алдын алу </w:t>
            </w:r>
            <w:r w:rsidRPr="005D5509">
              <w:rPr>
                <w:lang w:val="kk-KZ"/>
              </w:rPr>
              <w:t>мәселелері</w:t>
            </w:r>
            <w:r w:rsidR="00C509CB">
              <w:rPr>
                <w:lang w:val="kk-KZ"/>
              </w:rPr>
              <w:t>н</w:t>
            </w:r>
            <w:r w:rsidRPr="005D5509">
              <w:rPr>
                <w:lang w:val="kk-KZ"/>
              </w:rPr>
              <w:t xml:space="preserve"> ілгерілету үшін әлеуметтік желілерде </w:t>
            </w:r>
            <w:r w:rsidR="00C509CB">
              <w:rPr>
                <w:lang w:val="kk-KZ"/>
              </w:rPr>
              <w:t>таргеттік</w:t>
            </w:r>
            <w:r w:rsidR="00C509CB" w:rsidRPr="005D5509">
              <w:rPr>
                <w:lang w:val="kk-KZ"/>
              </w:rPr>
              <w:t xml:space="preserve"> </w:t>
            </w:r>
            <w:r w:rsidRPr="005D5509">
              <w:rPr>
                <w:lang w:val="kk-KZ"/>
              </w:rPr>
              <w:t>жарнама жұмысын ұйымдастыру және жүргізу;</w:t>
            </w:r>
          </w:p>
          <w:p w14:paraId="6B43FADC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29FBC122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3) медиа-материалдарды әзірлеуге креативті индустрия мамандарын, медиа-менеджерлерді тарту; </w:t>
            </w:r>
          </w:p>
          <w:p w14:paraId="3A2D0EE4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6DA11CFD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4) ақпараттық-түсіндіру жұмыстарына медиа </w:t>
            </w:r>
            <w:r w:rsidRPr="005D5509">
              <w:rPr>
                <w:lang w:val="kk-KZ"/>
              </w:rPr>
              <w:lastRenderedPageBreak/>
              <w:t>тұлғаларды, әсер етуші блогерлерді, отбасылық-тұрмыстық зорлық-зомбылықтың, буллингтің, харассменттің профилактикасы саласындағы сарапшыларды және т. б. тарту.</w:t>
            </w:r>
          </w:p>
          <w:p w14:paraId="58E1FFC8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711E8ED2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5) медиа-өнімдерді дайындау кезінде әрбір мақсатты аудиторияның мүдделерін ескеру қажет </w:t>
            </w:r>
            <w:r w:rsidRPr="005D5509">
              <w:rPr>
                <w:i/>
                <w:sz w:val="20"/>
                <w:szCs w:val="20"/>
                <w:lang w:val="kk-KZ"/>
              </w:rPr>
              <w:t>(мысалы, әйелдер аудиториясы үшін – тұрмыстық зорлық-зомбылық дегеніміз не, алғашқы белгілерді қалай тануға болады, оны қалай болдырмауға болады және зорлық-зомбылық жағдайында өзіңізді қалай қорғауға болады. Онда қыздар маманнан кеңес ала алады және зорлық-зомбылық кезінде заң көмегін таба алады. Сенімділік және өзін-өзі қорғау дағдылары және басқалар. Ерлер үшін-әйелге деген құрмет. Зорлық-зомбылықтың алдын алу үшін эмоционалды бақылау және қақтығыстарды басқару дағдылары қарым-қатынас және басқалар.)</w:t>
            </w:r>
            <w:r w:rsidRPr="005D5509">
              <w:rPr>
                <w:lang w:val="kk-KZ"/>
              </w:rPr>
              <w:t xml:space="preserve"> </w:t>
            </w:r>
          </w:p>
          <w:p w14:paraId="3C59EF19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61365FA2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Жалпы, ақпараттық материалдардың мазмұны тұрмыстық зорлық-зомбылыққа, буллингке, харассментке ықпал ететін негізгі себептерді ескеруі керек.  </w:t>
            </w:r>
          </w:p>
          <w:p w14:paraId="7DFFA39D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5334AF1A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>Жобаның тұрақтылығы үшін тұрмыстық зорлық-зомбылықтың, буллингтің, харассменттің алдын алуға бағытталған ақпараттық науқанды өткізу бойынша әдістемелік нұсқаулық әзірлеу ұсынылады.</w:t>
            </w:r>
          </w:p>
          <w:p w14:paraId="272E5608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5BA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>Жеке немесе жалға берілетін үй-жайдың кемінде 3 өңірде болуы; ноутбуктер немесе стационарлық компьютерлер кемінде 3, қара-ақ принтерлер кемінде 2, түсті принтер-1</w:t>
            </w:r>
          </w:p>
        </w:tc>
      </w:tr>
      <w:tr w:rsidR="00290657" w:rsidRPr="00A6534B" w14:paraId="11EB9BE2" w14:textId="77777777" w:rsidTr="00E90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92A" w14:textId="77777777" w:rsidR="00290657" w:rsidRPr="005D5509" w:rsidRDefault="00290657" w:rsidP="00D222A6">
            <w:pPr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BBF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Отбасылық-демографиялық және гендерлік мәселелерді шешуге жәрдемдесу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FE9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rFonts w:eastAsia="Calibri"/>
                <w:spacing w:val="2"/>
                <w:shd w:val="clear" w:color="auto" w:fill="FFFFFF"/>
                <w:lang w:val="kk-KZ" w:eastAsia="en-US"/>
              </w:rPr>
              <w:t>Отбасылық және дәстүрлі құндылықтарды насихаттау, ата-аналардың бала тәрбиесіне жауапкершілігін арттыру жөніндегі шаралар кешені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91A" w14:textId="76B99162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Қазақстан Республикасындағы 2030 жылға дейінгі отбасылық және гендерлік саясат тұжырымдамасында </w:t>
            </w:r>
            <w:r w:rsidRPr="005D5509">
              <w:rPr>
                <w:i/>
                <w:lang w:val="kk-KZ"/>
              </w:rPr>
              <w:t>(ҚР Президентінің 2016 жылғы 6 желтоқсандағы № 384 Жарлығы)</w:t>
            </w:r>
            <w:r w:rsidRPr="005D5509">
              <w:rPr>
                <w:lang w:val="kk-KZ"/>
              </w:rPr>
              <w:t xml:space="preserve"> саналы ата-ана мен </w:t>
            </w:r>
            <w:r w:rsidR="00ED05F5">
              <w:rPr>
                <w:lang w:val="kk-KZ"/>
              </w:rPr>
              <w:t>жұмылған</w:t>
            </w:r>
            <w:r w:rsidR="00ED05F5" w:rsidRPr="005D5509">
              <w:rPr>
                <w:lang w:val="kk-KZ"/>
              </w:rPr>
              <w:t xml:space="preserve"> </w:t>
            </w:r>
            <w:r w:rsidRPr="005D5509">
              <w:rPr>
                <w:lang w:val="kk-KZ"/>
              </w:rPr>
              <w:t xml:space="preserve">әке болудың негізгі тәсілдері көрсетілген. </w:t>
            </w:r>
          </w:p>
          <w:p w14:paraId="5AB13A8C" w14:textId="749B57AF" w:rsidR="00290657" w:rsidRPr="005D5509" w:rsidRDefault="00ED05F5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>
              <w:rPr>
                <w:lang w:val="kk-KZ"/>
              </w:rPr>
              <w:t>Аталған</w:t>
            </w:r>
            <w:r w:rsidRPr="005D5509">
              <w:rPr>
                <w:lang w:val="kk-KZ"/>
              </w:rPr>
              <w:t xml:space="preserve"> </w:t>
            </w:r>
            <w:r w:rsidR="00290657" w:rsidRPr="005D5509">
              <w:rPr>
                <w:lang w:val="kk-KZ"/>
              </w:rPr>
              <w:t xml:space="preserve">шаралар балалар мен ата-аналардың эмоционалды байланыстарын нығайтуға және балаларды тәрбиелеудегі әкенің рөлін күшейтуге, </w:t>
            </w:r>
            <w:r>
              <w:rPr>
                <w:lang w:val="kk-KZ"/>
              </w:rPr>
              <w:t>жалғыз ата-анадан тұратын отбасы</w:t>
            </w:r>
            <w:r w:rsidR="00290657" w:rsidRPr="005D5509">
              <w:rPr>
                <w:lang w:val="kk-KZ"/>
              </w:rPr>
              <w:t xml:space="preserve"> санын азайтуға ықпал етеді.  </w:t>
            </w:r>
          </w:p>
          <w:p w14:paraId="5C1FFE39" w14:textId="067FCD36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Тұжырымдамаға сәйкес Қазақстан Республикасында отбасы саясатын іске асыру отбасының жауапкершілігі, баланың (балалардың) жеке басын тәрбиелеу, </w:t>
            </w:r>
            <w:r w:rsidR="00ED05F5">
              <w:rPr>
                <w:lang w:val="kk-KZ"/>
              </w:rPr>
              <w:t>білім беру</w:t>
            </w:r>
            <w:r w:rsidR="00ED05F5" w:rsidRPr="005D5509">
              <w:rPr>
                <w:lang w:val="kk-KZ"/>
              </w:rPr>
              <w:t xml:space="preserve"> </w:t>
            </w:r>
            <w:r w:rsidRPr="005D5509">
              <w:rPr>
                <w:lang w:val="kk-KZ"/>
              </w:rPr>
              <w:t xml:space="preserve">және дамыту және отбасының әрбір мүшесінің денсаулығын сақтау үшін екі ата-ананың ортақ және бірдей жауапкершілігі қағидаттарында жүзеге асырылатын болады.  </w:t>
            </w:r>
          </w:p>
          <w:p w14:paraId="5268CA17" w14:textId="720080E7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Мемлекет </w:t>
            </w:r>
            <w:r w:rsidR="00ED05F5">
              <w:rPr>
                <w:lang w:val="kk-KZ"/>
              </w:rPr>
              <w:t>б</w:t>
            </w:r>
            <w:r w:rsidR="00ED05F5" w:rsidRPr="005D5509">
              <w:rPr>
                <w:lang w:val="kk-KZ"/>
              </w:rPr>
              <w:t xml:space="preserve">асшысы </w:t>
            </w:r>
            <w:r w:rsidRPr="005D5509">
              <w:rPr>
                <w:lang w:val="kk-KZ"/>
              </w:rPr>
              <w:t xml:space="preserve">Қасым-Жомарт </w:t>
            </w:r>
            <w:r w:rsidRPr="005D5509">
              <w:rPr>
                <w:lang w:val="kk-KZ"/>
              </w:rPr>
              <w:lastRenderedPageBreak/>
              <w:t xml:space="preserve">Тоқаев 2024 жылғы 2 қыркүйектегі «Әділ Қазақстан: Заң және тәртіп, экономикалық өсу, қоғамдық оптимизм» атты Қазақстан халқына Жолдауында </w:t>
            </w:r>
            <w:r w:rsidRPr="005D5509">
              <w:rPr>
                <w:i/>
                <w:lang w:val="kk-KZ"/>
              </w:rPr>
              <w:t xml:space="preserve">мемлекет пен ата-аналардың балаларды оқыту мен тәрбиелеу үшін ортақ жауапкершілігін атап өтті. </w:t>
            </w:r>
          </w:p>
          <w:p w14:paraId="191DB816" w14:textId="77777777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Қазақстан Республикасының Президенті Қ.К.Тоқаевтың Ұлттық құрылтай отырысында берген хаттамалық тапсырмасына сәйкес </w:t>
            </w:r>
            <w:r w:rsidRPr="005D5509">
              <w:rPr>
                <w:i/>
                <w:lang w:val="kk-KZ"/>
              </w:rPr>
              <w:t>(2024 жылғы 15 наурыздағы 3.13 т. №24-01-11. 1)</w:t>
            </w:r>
            <w:r w:rsidRPr="005D5509">
              <w:rPr>
                <w:lang w:val="kk-KZ"/>
              </w:rPr>
              <w:t xml:space="preserve"> Мәдениет және ақпарат министрлігі дәстүрлі отбасылық құндылықтарды дәйекті түрде дамыту жөніндегі жұмысты жалғастыруы қажет;  </w:t>
            </w:r>
          </w:p>
          <w:p w14:paraId="242BF4C4" w14:textId="77777777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ҚР Президенті Әкімшілігі Басшысының 2024 жылғы 12 шілдедегі № 24-32-34. 179 қарарына сәйкес Министрлікке отбасы және неке институтын сақтау және нығайту жөнінде шаралар кешенін қабылдау тапсырылды. </w:t>
            </w:r>
          </w:p>
          <w:p w14:paraId="4559D5B3" w14:textId="77777777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Осыған байланысты «Отбасылық және дәстүрлі құндылықтарды насихаттау, ата-аналардың бала тәрбиесі үшін жауапкершілігін арттыру жөніндегі шаралар кешені» гранттық жобасы ұсынылады.  </w:t>
            </w:r>
          </w:p>
          <w:p w14:paraId="22680D58" w14:textId="77777777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Сондай ақ қазіргі уақытта отбасы саясаты саласында мынадай проблемалық мәселелер бар: </w:t>
            </w:r>
          </w:p>
          <w:p w14:paraId="0CD4B03B" w14:textId="77777777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- Жаһандану процестері отбасы институты мен дәстүрлі </w:t>
            </w:r>
            <w:r w:rsidRPr="005D5509">
              <w:rPr>
                <w:lang w:val="kk-KZ"/>
              </w:rPr>
              <w:lastRenderedPageBreak/>
              <w:t>құндылықтардың дамуына тікелей әсер етеді.</w:t>
            </w:r>
          </w:p>
          <w:p w14:paraId="567970F1" w14:textId="0696F3D7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- Соңғы жылдары "азаматтық неке" танымал бола бастады. Сондай-ақ, қазақстандық қоғамда ерте неке</w:t>
            </w:r>
            <w:r w:rsidR="00ED05F5">
              <w:rPr>
                <w:lang w:val="kk-KZ"/>
              </w:rPr>
              <w:t>ге тұру</w:t>
            </w:r>
            <w:r w:rsidRPr="005D5509">
              <w:rPr>
                <w:lang w:val="kk-KZ"/>
              </w:rPr>
              <w:t xml:space="preserve"> жағдайлары жиі кездеседі.   </w:t>
            </w:r>
          </w:p>
          <w:p w14:paraId="0BEEBF85" w14:textId="41B11213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- Саналы ата-ана мен </w:t>
            </w:r>
            <w:r w:rsidR="00ED05F5">
              <w:rPr>
                <w:lang w:val="kk-KZ"/>
              </w:rPr>
              <w:t xml:space="preserve">жұмылған </w:t>
            </w:r>
            <w:r w:rsidRPr="005D5509">
              <w:rPr>
                <w:lang w:val="kk-KZ"/>
              </w:rPr>
              <w:t xml:space="preserve">әке болуды қалыптастыру </w:t>
            </w:r>
            <w:r w:rsidR="00ED05F5">
              <w:rPr>
                <w:lang w:val="kk-KZ"/>
              </w:rPr>
              <w:t xml:space="preserve">мәселесі сиқяты бірқатар </w:t>
            </w:r>
            <w:r w:rsidRPr="005D5509">
              <w:rPr>
                <w:lang w:val="kk-KZ"/>
              </w:rPr>
              <w:t xml:space="preserve">проблемалар байқалады; </w:t>
            </w:r>
          </w:p>
          <w:p w14:paraId="61360F5B" w14:textId="0124107E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- Балалар суицидінің, жүктілікті, оның ішінде кәмелетке толмағандар арасында </w:t>
            </w:r>
            <w:r w:rsidR="00ED05F5" w:rsidRPr="005D5509">
              <w:rPr>
                <w:lang w:val="kk-KZ"/>
              </w:rPr>
              <w:t>жасанды тоқтату жағдайлар</w:t>
            </w:r>
            <w:r w:rsidR="00ED05F5">
              <w:rPr>
                <w:lang w:val="kk-KZ"/>
              </w:rPr>
              <w:t>ын</w:t>
            </w:r>
            <w:r w:rsidR="00ED05F5" w:rsidRPr="005D5509">
              <w:rPr>
                <w:lang w:val="kk-KZ"/>
              </w:rPr>
              <w:t xml:space="preserve">ың </w:t>
            </w:r>
            <w:r w:rsidRPr="005D5509">
              <w:rPr>
                <w:lang w:val="kk-KZ"/>
              </w:rPr>
              <w:t xml:space="preserve">таралуы; </w:t>
            </w:r>
          </w:p>
          <w:p w14:paraId="71F7FF2E" w14:textId="77777777" w:rsidR="00290657" w:rsidRPr="005D5509" w:rsidRDefault="00290657" w:rsidP="00D222A6">
            <w:pPr>
              <w:widowControl w:val="0"/>
              <w:pBdr>
                <w:bottom w:val="single" w:sz="4" w:space="31" w:color="FFFFFF"/>
              </w:pBd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- Әйелдер мен балаларға қатысты зорлық-зомбылық; </w:t>
            </w:r>
          </w:p>
          <w:p w14:paraId="520581D8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- Көптеген ата-аналар ата-ана тәрбиесінде жеткілікті білім мен дағдылардың болмауына байланысты (ата-ана құзыретінің болмауы) балаларды тәрбиелеуге тиісті көңіл бөлмейді, олармен сенімді қарым-қатынас орнатуды білмейді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84E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>2025 жыл -</w:t>
            </w:r>
          </w:p>
          <w:p w14:paraId="66D84432" w14:textId="77777777" w:rsidR="00290657" w:rsidRPr="005D5509" w:rsidRDefault="00290657" w:rsidP="00D222A6">
            <w:pPr>
              <w:jc w:val="both"/>
              <w:rPr>
                <w:bCs/>
                <w:lang w:val="kk-KZ"/>
              </w:rPr>
            </w:pPr>
            <w:r w:rsidRPr="005D5509">
              <w:rPr>
                <w:lang w:val="kk-KZ"/>
              </w:rPr>
              <w:t xml:space="preserve">50 000 </w:t>
            </w:r>
            <w:r w:rsidRPr="005D5509">
              <w:rPr>
                <w:bCs/>
                <w:lang w:val="kk-KZ"/>
              </w:rPr>
              <w:t>мың.тг.;</w:t>
            </w:r>
          </w:p>
          <w:p w14:paraId="11BD2688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</w:p>
          <w:p w14:paraId="207BE642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2026 жыл -</w:t>
            </w:r>
          </w:p>
          <w:p w14:paraId="4C3D23F4" w14:textId="77777777" w:rsidR="00290657" w:rsidRPr="005D5509" w:rsidRDefault="00290657" w:rsidP="00D222A6">
            <w:pPr>
              <w:jc w:val="both"/>
              <w:rPr>
                <w:bCs/>
                <w:lang w:val="kk-KZ"/>
              </w:rPr>
            </w:pPr>
            <w:r w:rsidRPr="005D5509">
              <w:rPr>
                <w:lang w:val="kk-KZ"/>
              </w:rPr>
              <w:t xml:space="preserve">50 000 </w:t>
            </w:r>
            <w:r w:rsidRPr="005D5509">
              <w:rPr>
                <w:bCs/>
                <w:lang w:val="kk-KZ"/>
              </w:rPr>
              <w:t>мың.тг.;</w:t>
            </w:r>
          </w:p>
          <w:p w14:paraId="60992766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</w:p>
          <w:p w14:paraId="6E895323" w14:textId="77777777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2027 жыл -</w:t>
            </w:r>
          </w:p>
          <w:p w14:paraId="254752D0" w14:textId="77777777" w:rsidR="00290657" w:rsidRPr="005D5509" w:rsidRDefault="00290657" w:rsidP="00D222A6">
            <w:pPr>
              <w:jc w:val="both"/>
              <w:rPr>
                <w:bCs/>
                <w:lang w:val="kk-KZ"/>
              </w:rPr>
            </w:pPr>
            <w:r w:rsidRPr="005D5509">
              <w:rPr>
                <w:lang w:val="kk-KZ"/>
              </w:rPr>
              <w:t xml:space="preserve">50 000 </w:t>
            </w:r>
            <w:r w:rsidRPr="005D5509">
              <w:rPr>
                <w:bCs/>
                <w:lang w:val="kk-KZ"/>
              </w:rPr>
              <w:t>мың.тг.;</w:t>
            </w:r>
          </w:p>
          <w:p w14:paraId="3C40BB06" w14:textId="77777777" w:rsidR="00290657" w:rsidRPr="005D5509" w:rsidRDefault="00290657" w:rsidP="00D222A6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745" w14:textId="1D787B11" w:rsidR="00290657" w:rsidRPr="005D5509" w:rsidRDefault="00290657" w:rsidP="00D222A6">
            <w:pPr>
              <w:jc w:val="center"/>
              <w:rPr>
                <w:lang w:val="kk-KZ"/>
              </w:rPr>
            </w:pPr>
            <w:r w:rsidRPr="005D5509">
              <w:rPr>
                <w:lang w:val="kk-KZ"/>
              </w:rPr>
              <w:t>1 ұзақ мерзімді</w:t>
            </w:r>
            <w:r w:rsidR="00D222A6">
              <w:rPr>
                <w:lang w:val="kk-KZ"/>
              </w:rPr>
              <w:t xml:space="preserve"> грант</w:t>
            </w:r>
            <w:r w:rsidRPr="005D5509">
              <w:rPr>
                <w:lang w:val="kk-KZ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D7D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  <w:r w:rsidRPr="005D5509">
              <w:rPr>
                <w:b/>
                <w:lang w:val="kk-KZ"/>
              </w:rPr>
              <w:t xml:space="preserve">Нысаналы индикатор: </w:t>
            </w:r>
          </w:p>
          <w:p w14:paraId="6A498975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1. Ақпараттық қамту - 2 млн; </w:t>
            </w:r>
          </w:p>
          <w:p w14:paraId="222B3E6C" w14:textId="5F995ECE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2. Білім беру бағдарламаларына қатысатын ата-аналардың кем дегенде 40% - ы саналы ата-аналықты </w:t>
            </w:r>
            <w:r w:rsidR="00ED05F5">
              <w:rPr>
                <w:lang w:val="kk-KZ"/>
              </w:rPr>
              <w:t>практикада</w:t>
            </w:r>
            <w:r w:rsidR="00ED05F5" w:rsidRPr="005D5509">
              <w:rPr>
                <w:lang w:val="kk-KZ"/>
              </w:rPr>
              <w:t xml:space="preserve"> </w:t>
            </w:r>
            <w:r w:rsidRPr="005D5509">
              <w:rPr>
                <w:lang w:val="kk-KZ"/>
              </w:rPr>
              <w:t>қолдана бастайды (сауалнамалар арқылы бағалау).</w:t>
            </w:r>
          </w:p>
          <w:p w14:paraId="700684CE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4521CF4B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  <w:r w:rsidRPr="005D5509">
              <w:rPr>
                <w:b/>
                <w:lang w:val="kk-KZ"/>
              </w:rPr>
              <w:t>Күтілетін нәтиже:</w:t>
            </w:r>
          </w:p>
          <w:p w14:paraId="3D1A3ED9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1) отбасылық және дәстүрлі құндылықтарды насихаттауға, ата-аналардың бала тәрбиесі үшін жауапкершілігін арттыруға бағытталған іс-шараларды (кездесулер, форумдар, семинар-тренингтер, конкурстар және т.б.) ұйымдастыру.</w:t>
            </w:r>
          </w:p>
          <w:p w14:paraId="32E9D310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4F52EA8C" w14:textId="19D6E50C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2) Халықаралық </w:t>
            </w:r>
            <w:r w:rsidR="001F7C42">
              <w:rPr>
                <w:lang w:val="kk-KZ"/>
              </w:rPr>
              <w:t>о</w:t>
            </w:r>
            <w:r w:rsidR="001F7C42" w:rsidRPr="005D5509">
              <w:rPr>
                <w:lang w:val="kk-KZ"/>
              </w:rPr>
              <w:t xml:space="preserve">тбасы </w:t>
            </w:r>
            <w:r w:rsidRPr="005D5509">
              <w:rPr>
                <w:lang w:val="kk-KZ"/>
              </w:rPr>
              <w:t xml:space="preserve">күнін, Аналар күнін, Әкелер күнін, Қазақстандағы Отбасы күнін, балаларды қорғау күнін </w:t>
            </w:r>
            <w:r w:rsidRPr="005D5509">
              <w:rPr>
                <w:lang w:val="kk-KZ"/>
              </w:rPr>
              <w:lastRenderedPageBreak/>
              <w:t xml:space="preserve">мерекелеу жөніндегі іс-шараларды өткізу. </w:t>
            </w:r>
          </w:p>
          <w:p w14:paraId="3AFCDF9E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121B7350" w14:textId="651B10A0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3) </w:t>
            </w:r>
            <w:r w:rsidR="001F7C42" w:rsidRPr="005D5509">
              <w:rPr>
                <w:lang w:val="kk-KZ"/>
              </w:rPr>
              <w:t xml:space="preserve">дәстүрлі </w:t>
            </w:r>
            <w:r w:rsidRPr="005D5509">
              <w:rPr>
                <w:lang w:val="kk-KZ"/>
              </w:rPr>
              <w:t>отбасылық құндылықтар</w:t>
            </w:r>
            <w:r w:rsidR="001F7C42">
              <w:rPr>
                <w:lang w:val="kk-KZ"/>
              </w:rPr>
              <w:t>,</w:t>
            </w:r>
            <w:r w:rsidRPr="005D5509">
              <w:rPr>
                <w:lang w:val="kk-KZ"/>
              </w:rPr>
              <w:t xml:space="preserve"> </w:t>
            </w:r>
            <w:r w:rsidR="001F7C42" w:rsidRPr="005D5509">
              <w:rPr>
                <w:lang w:val="kk-KZ"/>
              </w:rPr>
              <w:t xml:space="preserve">ата-аналардың бала тәрбиесіндегі жауапкершілігін арттыру </w:t>
            </w:r>
            <w:r w:rsidRPr="005D5509">
              <w:rPr>
                <w:lang w:val="kk-KZ"/>
              </w:rPr>
              <w:t xml:space="preserve">мәселелері бойынша әртүрлі форматтағы медиа-өнімдерді (посттар, инфографика бейнероликтер, подкасттар және т.б.) дайындау және ілгерілету,. </w:t>
            </w:r>
          </w:p>
          <w:p w14:paraId="42237F68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66DB8D39" w14:textId="5A59A77C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4) бала тәрбиесі бойынша үздік халықараралық және ұлттық </w:t>
            </w:r>
            <w:r w:rsidR="001F7C42">
              <w:rPr>
                <w:lang w:val="kk-KZ"/>
              </w:rPr>
              <w:t xml:space="preserve">практикаларды </w:t>
            </w:r>
            <w:r w:rsidRPr="005D5509">
              <w:rPr>
                <w:lang w:val="kk-KZ"/>
              </w:rPr>
              <w:t xml:space="preserve">жинақтау және ата-аналарды тұрақты ақпараттандыру және оқыту үшін платформа құру мақсатында «Ата-аналар академиясын» құру; </w:t>
            </w:r>
          </w:p>
          <w:p w14:paraId="0FC5B8C0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2F4D4696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>5) ата-аналар арасында түрлі проблемалық мәселелер бойынша түсіндіру жұмыстары;</w:t>
            </w:r>
          </w:p>
          <w:p w14:paraId="4299C21B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1FB868F1" w14:textId="3C7B2653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6) ата-аналар қауымдастығымен өзара </w:t>
            </w:r>
            <w:r w:rsidR="001F7C42">
              <w:rPr>
                <w:lang w:val="kk-KZ"/>
              </w:rPr>
              <w:t>іс-қимыл</w:t>
            </w:r>
            <w:r w:rsidRPr="005D5509">
              <w:rPr>
                <w:lang w:val="kk-KZ"/>
              </w:rPr>
              <w:t>, ата-аналар қауымдастығын дамыту және ілгерілету.</w:t>
            </w:r>
          </w:p>
          <w:p w14:paraId="009EA4F2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</w:p>
          <w:p w14:paraId="612A7EA6" w14:textId="4A6A6D6D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 xml:space="preserve">7) 3 жыл бойы  еліміздің 10 жоғары оқу </w:t>
            </w:r>
            <w:r w:rsidR="001F7C42" w:rsidRPr="005D5509">
              <w:rPr>
                <w:lang w:val="kk-KZ"/>
              </w:rPr>
              <w:t>ор</w:t>
            </w:r>
            <w:r w:rsidR="001F7C42">
              <w:rPr>
                <w:lang w:val="kk-KZ"/>
              </w:rPr>
              <w:t>н</w:t>
            </w:r>
            <w:r w:rsidR="001F7C42" w:rsidRPr="005D5509">
              <w:rPr>
                <w:lang w:val="kk-KZ"/>
              </w:rPr>
              <w:t>ында</w:t>
            </w:r>
            <w:r w:rsidRPr="005D5509">
              <w:rPr>
                <w:lang w:val="kk-KZ"/>
              </w:rPr>
              <w:t xml:space="preserve">, колледжінде отбасылық өмірге дайындық бағдарламасын енгізу, </w:t>
            </w:r>
            <w:r w:rsidR="001F7C42" w:rsidRPr="005D5509">
              <w:rPr>
                <w:lang w:val="kk-KZ"/>
              </w:rPr>
              <w:t xml:space="preserve">одан әрі </w:t>
            </w:r>
            <w:r w:rsidRPr="005D5509">
              <w:rPr>
                <w:lang w:val="kk-KZ"/>
              </w:rPr>
              <w:t>барлық жоғары оқу орындарында енгізу үшін әдіснамалық базаны дайындау. Тәжірибелі психолог-</w:t>
            </w:r>
            <w:r w:rsidR="001F7C42">
              <w:rPr>
                <w:lang w:val="kk-KZ"/>
              </w:rPr>
              <w:t>тренерлердің</w:t>
            </w:r>
            <w:r w:rsidR="001F7C42" w:rsidRPr="005D5509">
              <w:rPr>
                <w:lang w:val="kk-KZ"/>
              </w:rPr>
              <w:t xml:space="preserve"> </w:t>
            </w:r>
            <w:r w:rsidRPr="005D5509">
              <w:rPr>
                <w:lang w:val="kk-KZ"/>
              </w:rPr>
              <w:t>пулын қалыптастыру.</w:t>
            </w:r>
          </w:p>
          <w:p w14:paraId="3649A2FD" w14:textId="6FF4C25D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t xml:space="preserve">8) отбасын жоспарлау бойынша некеге тұратын жұптарға арналған </w:t>
            </w:r>
            <w:r w:rsidR="001F7C42">
              <w:rPr>
                <w:lang w:val="kk-KZ"/>
              </w:rPr>
              <w:t>бейне</w:t>
            </w:r>
            <w:r w:rsidR="001F7C42" w:rsidRPr="005D5509">
              <w:rPr>
                <w:lang w:val="kk-KZ"/>
              </w:rPr>
              <w:t xml:space="preserve">роликтер </w:t>
            </w:r>
            <w:r w:rsidRPr="005D5509">
              <w:rPr>
                <w:lang w:val="kk-KZ"/>
              </w:rPr>
              <w:t xml:space="preserve">әзірлеу. </w:t>
            </w:r>
          </w:p>
          <w:p w14:paraId="41FE8C71" w14:textId="77777777" w:rsidR="00290657" w:rsidRPr="005D5509" w:rsidRDefault="00290657" w:rsidP="00D222A6">
            <w:pPr>
              <w:jc w:val="both"/>
              <w:rPr>
                <w:b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E4B" w14:textId="77777777" w:rsidR="00290657" w:rsidRPr="005D5509" w:rsidRDefault="00290657" w:rsidP="00D222A6">
            <w:pPr>
              <w:jc w:val="both"/>
              <w:rPr>
                <w:lang w:val="kk-KZ"/>
              </w:rPr>
            </w:pPr>
            <w:r w:rsidRPr="005D5509">
              <w:rPr>
                <w:lang w:val="kk-KZ"/>
              </w:rPr>
              <w:lastRenderedPageBreak/>
              <w:t>3 өңірден кем емес жеке немесе жалға берілетін үй-жайдың; отбасын қолдау орталықтары қызметкерлерінің біліктілігін жүйелі негізде арттыруға арналған конференц-залдардың болуы. Проектор-1, ноутбуктер немесе стационарлық компьютерле</w:t>
            </w:r>
            <w:r w:rsidRPr="005D5509">
              <w:rPr>
                <w:lang w:val="kk-KZ"/>
              </w:rPr>
              <w:lastRenderedPageBreak/>
              <w:t>р кемінде 5, ақ-қара принтерлер кемінде 2, түсті принтер-1, қалааралық немесе қалалық байланыс үшін нөмірі бар стационарлық телефон – жоба жетекшісі мен қызметкер үшін кемінде 2</w:t>
            </w:r>
          </w:p>
        </w:tc>
      </w:tr>
      <w:tr w:rsidR="00290657" w:rsidRPr="005D5509" w14:paraId="2879EE2B" w14:textId="77777777" w:rsidTr="00E90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184" w14:textId="77777777" w:rsidR="00290657" w:rsidRPr="005D5509" w:rsidRDefault="00290657" w:rsidP="00D222A6">
            <w:pPr>
              <w:rPr>
                <w:b/>
                <w:lang w:val="kk-KZ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237" w14:textId="1BD16CD6" w:rsidR="00290657" w:rsidRPr="005D5509" w:rsidRDefault="00ED05F5" w:rsidP="00D222A6">
            <w:pPr>
              <w:jc w:val="center"/>
              <w:rPr>
                <w:rFonts w:eastAsia="Calibri"/>
                <w:b/>
                <w:spacing w:val="2"/>
                <w:shd w:val="clear" w:color="auto" w:fill="FFFFFF"/>
                <w:lang w:eastAsia="en-US"/>
              </w:rPr>
            </w:pPr>
            <w:r>
              <w:rPr>
                <w:b/>
                <w:lang w:val="kk-KZ"/>
              </w:rPr>
              <w:t>БАРЛЫҒЫ</w:t>
            </w:r>
            <w:r w:rsidRPr="005D5509">
              <w:rPr>
                <w:b/>
                <w:lang w:val="kk-KZ"/>
              </w:rPr>
              <w:t xml:space="preserve"> </w:t>
            </w:r>
            <w:r w:rsidR="00290657" w:rsidRPr="005D5509">
              <w:rPr>
                <w:b/>
              </w:rPr>
              <w:t>2025 жыл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05F" w14:textId="77777777" w:rsidR="00290657" w:rsidRPr="005D5509" w:rsidRDefault="00290657" w:rsidP="00D222A6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C50" w14:textId="77777777" w:rsidR="00290657" w:rsidRPr="005D5509" w:rsidRDefault="00290657" w:rsidP="00D222A6">
            <w:pPr>
              <w:jc w:val="both"/>
              <w:rPr>
                <w:b/>
                <w:bCs/>
              </w:rPr>
            </w:pPr>
            <w:r w:rsidRPr="005D5509">
              <w:rPr>
                <w:b/>
                <w:bCs/>
              </w:rPr>
              <w:t>410 230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4EB" w14:textId="77777777" w:rsidR="00290657" w:rsidRPr="005D5509" w:rsidRDefault="00290657" w:rsidP="00D222A6">
            <w:pPr>
              <w:rPr>
                <w:b/>
                <w:bCs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9EE0" w14:textId="77777777" w:rsidR="00290657" w:rsidRPr="005D5509" w:rsidRDefault="00290657" w:rsidP="00D222A6">
            <w:pPr>
              <w:jc w:val="both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99C" w14:textId="77777777" w:rsidR="00290657" w:rsidRPr="005D5509" w:rsidRDefault="00290657" w:rsidP="00D222A6">
            <w:pPr>
              <w:rPr>
                <w:b/>
              </w:rPr>
            </w:pPr>
          </w:p>
        </w:tc>
      </w:tr>
      <w:tr w:rsidR="00290657" w:rsidRPr="005D5509" w14:paraId="47F499C7" w14:textId="77777777" w:rsidTr="00E90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FCF" w14:textId="77777777" w:rsidR="00290657" w:rsidRPr="005D5509" w:rsidRDefault="00290657" w:rsidP="00D222A6">
            <w:pPr>
              <w:rPr>
                <w:b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063" w14:textId="4C491BBE" w:rsidR="00290657" w:rsidRPr="005D5509" w:rsidRDefault="00ED05F5" w:rsidP="00D222A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  <w:r w:rsidRPr="005D5509" w:rsidDel="00ED05F5">
              <w:rPr>
                <w:b/>
                <w:lang w:val="kk-KZ"/>
              </w:rPr>
              <w:t xml:space="preserve"> </w:t>
            </w:r>
            <w:r w:rsidR="00290657" w:rsidRPr="005D5509">
              <w:rPr>
                <w:b/>
              </w:rPr>
              <w:t xml:space="preserve">2026 </w:t>
            </w:r>
            <w:r w:rsidR="00290657" w:rsidRPr="005D5509">
              <w:rPr>
                <w:b/>
                <w:lang w:val="kk-KZ"/>
              </w:rPr>
              <w:t>жыл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6EE" w14:textId="77777777" w:rsidR="00290657" w:rsidRPr="005D5509" w:rsidRDefault="00290657" w:rsidP="00D222A6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E72" w14:textId="77777777" w:rsidR="00290657" w:rsidRPr="005D5509" w:rsidRDefault="00290657" w:rsidP="00D222A6">
            <w:pPr>
              <w:jc w:val="both"/>
              <w:rPr>
                <w:b/>
                <w:bCs/>
              </w:rPr>
            </w:pPr>
            <w:r w:rsidRPr="005D5509">
              <w:rPr>
                <w:b/>
                <w:bCs/>
              </w:rPr>
              <w:t>410 177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37EA" w14:textId="77777777" w:rsidR="00290657" w:rsidRPr="005D5509" w:rsidRDefault="00290657" w:rsidP="00D222A6">
            <w:pPr>
              <w:jc w:val="center"/>
              <w:rPr>
                <w:b/>
                <w:bCs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74E" w14:textId="77777777" w:rsidR="00290657" w:rsidRPr="005D5509" w:rsidRDefault="00290657" w:rsidP="00D222A6">
            <w:pPr>
              <w:jc w:val="both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960" w14:textId="77777777" w:rsidR="00290657" w:rsidRPr="005D5509" w:rsidRDefault="00290657" w:rsidP="00D222A6">
            <w:pPr>
              <w:rPr>
                <w:b/>
              </w:rPr>
            </w:pPr>
          </w:p>
        </w:tc>
      </w:tr>
      <w:tr w:rsidR="00290657" w:rsidRPr="00247EE7" w14:paraId="7A9F8E45" w14:textId="77777777" w:rsidTr="00E90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016" w14:textId="77777777" w:rsidR="00290657" w:rsidRPr="005D5509" w:rsidRDefault="00290657" w:rsidP="00D222A6">
            <w:pPr>
              <w:rPr>
                <w:b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8D6" w14:textId="2BBA253C" w:rsidR="00290657" w:rsidRPr="005D5509" w:rsidRDefault="00ED05F5" w:rsidP="00D222A6">
            <w:pPr>
              <w:jc w:val="center"/>
              <w:rPr>
                <w:rFonts w:eastAsia="Calibri"/>
                <w:b/>
                <w:spacing w:val="2"/>
                <w:shd w:val="clear" w:color="auto" w:fill="FFFFFF"/>
                <w:lang w:val="kk-KZ" w:eastAsia="en-US"/>
              </w:rPr>
            </w:pPr>
            <w:r>
              <w:rPr>
                <w:b/>
                <w:lang w:val="kk-KZ"/>
              </w:rPr>
              <w:t>БАРЛЫҒЫ</w:t>
            </w:r>
            <w:r w:rsidRPr="005D5509" w:rsidDel="00ED05F5">
              <w:rPr>
                <w:b/>
                <w:lang w:val="kk-KZ"/>
              </w:rPr>
              <w:t xml:space="preserve"> </w:t>
            </w:r>
            <w:r w:rsidR="00290657" w:rsidRPr="005D5509">
              <w:rPr>
                <w:b/>
              </w:rPr>
              <w:t xml:space="preserve">2027 </w:t>
            </w:r>
            <w:r w:rsidR="00290657" w:rsidRPr="005D5509">
              <w:rPr>
                <w:b/>
                <w:lang w:val="kk-KZ"/>
              </w:rPr>
              <w:t>жыл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0019" w14:textId="77777777" w:rsidR="00290657" w:rsidRPr="005D5509" w:rsidRDefault="00290657" w:rsidP="00D222A6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AE6D" w14:textId="7FBB59D8" w:rsidR="00290657" w:rsidRPr="00247EE7" w:rsidRDefault="00A6534B" w:rsidP="00D222A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380</w:t>
            </w:r>
            <w:r>
              <w:rPr>
                <w:b/>
                <w:bCs/>
              </w:rPr>
              <w:t xml:space="preserve"> 121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24B" w14:textId="77777777" w:rsidR="00290657" w:rsidRPr="00247EE7" w:rsidRDefault="00290657" w:rsidP="00D222A6">
            <w:pPr>
              <w:jc w:val="center"/>
              <w:rPr>
                <w:b/>
                <w:bCs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0CA" w14:textId="77777777" w:rsidR="00290657" w:rsidRPr="00247EE7" w:rsidRDefault="00290657" w:rsidP="00D222A6">
            <w:pPr>
              <w:jc w:val="both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268" w14:textId="77777777" w:rsidR="00290657" w:rsidRPr="00247EE7" w:rsidRDefault="00290657" w:rsidP="00D222A6">
            <w:pPr>
              <w:rPr>
                <w:b/>
              </w:rPr>
            </w:pPr>
          </w:p>
        </w:tc>
      </w:tr>
    </w:tbl>
    <w:p w14:paraId="04A052F5" w14:textId="5D409E44" w:rsidR="00AF3915" w:rsidRPr="00247EE7" w:rsidRDefault="00AF3915"/>
    <w:sectPr w:rsidR="00AF3915" w:rsidRPr="00247EE7">
      <w:headerReference w:type="default" r:id="rId8"/>
      <w:footerReference w:type="default" r:id="rId9"/>
      <w:pgSz w:w="16838" w:h="11906" w:orient="landscape"/>
      <w:pgMar w:top="851" w:right="1134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0AFC5" w14:textId="77777777" w:rsidR="00E42921" w:rsidRDefault="00E42921">
      <w:r>
        <w:separator/>
      </w:r>
    </w:p>
  </w:endnote>
  <w:endnote w:type="continuationSeparator" w:id="0">
    <w:p w14:paraId="4CF88646" w14:textId="77777777" w:rsidR="00E42921" w:rsidRDefault="00E4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AB432" w14:textId="77777777" w:rsidR="00FD1AC6" w:rsidRDefault="00FD1A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13AFCEAA" w14:textId="77777777" w:rsidR="00FD1AC6" w:rsidRDefault="00FD1A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23272" w14:textId="77777777" w:rsidR="00E42921" w:rsidRDefault="00E42921">
      <w:r>
        <w:separator/>
      </w:r>
    </w:p>
  </w:footnote>
  <w:footnote w:type="continuationSeparator" w:id="0">
    <w:p w14:paraId="753A5888" w14:textId="77777777" w:rsidR="00E42921" w:rsidRDefault="00E4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1431" w14:textId="4923DE96" w:rsidR="00FD1AC6" w:rsidRDefault="00FD1A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52AE">
      <w:rPr>
        <w:noProof/>
        <w:color w:val="000000"/>
      </w:rPr>
      <w:t>21</w:t>
    </w:r>
    <w:r>
      <w:rPr>
        <w:color w:val="000000"/>
      </w:rPr>
      <w:fldChar w:fldCharType="end"/>
    </w:r>
  </w:p>
  <w:p w14:paraId="5F476C59" w14:textId="77777777" w:rsidR="00FD1AC6" w:rsidRDefault="00FD1A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8C5"/>
    <w:multiLevelType w:val="hybridMultilevel"/>
    <w:tmpl w:val="218A0014"/>
    <w:lvl w:ilvl="0" w:tplc="20000011">
      <w:start w:val="1"/>
      <w:numFmt w:val="decimal"/>
      <w:lvlText w:val="%1)"/>
      <w:lvlJc w:val="left"/>
      <w:pPr>
        <w:ind w:left="739" w:hanging="360"/>
      </w:p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0C83422A"/>
    <w:multiLevelType w:val="hybridMultilevel"/>
    <w:tmpl w:val="719CC7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90A94"/>
    <w:multiLevelType w:val="multilevel"/>
    <w:tmpl w:val="F7D07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8C1236"/>
    <w:multiLevelType w:val="hybridMultilevel"/>
    <w:tmpl w:val="1B304296"/>
    <w:lvl w:ilvl="0" w:tplc="99642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1E6BC5"/>
    <w:multiLevelType w:val="hybridMultilevel"/>
    <w:tmpl w:val="218A0014"/>
    <w:lvl w:ilvl="0" w:tplc="20000011">
      <w:start w:val="1"/>
      <w:numFmt w:val="decimal"/>
      <w:lvlText w:val="%1)"/>
      <w:lvlJc w:val="left"/>
      <w:pPr>
        <w:ind w:left="739" w:hanging="360"/>
      </w:p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21E63082"/>
    <w:multiLevelType w:val="hybridMultilevel"/>
    <w:tmpl w:val="218A0014"/>
    <w:lvl w:ilvl="0" w:tplc="20000011">
      <w:start w:val="1"/>
      <w:numFmt w:val="decimal"/>
      <w:lvlText w:val="%1)"/>
      <w:lvlJc w:val="left"/>
      <w:pPr>
        <w:ind w:left="739" w:hanging="360"/>
      </w:p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26F132FB"/>
    <w:multiLevelType w:val="hybridMultilevel"/>
    <w:tmpl w:val="719CC7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245A"/>
    <w:multiLevelType w:val="hybridMultilevel"/>
    <w:tmpl w:val="391A0DE2"/>
    <w:lvl w:ilvl="0" w:tplc="F74E1E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73FCA"/>
    <w:multiLevelType w:val="hybridMultilevel"/>
    <w:tmpl w:val="AC6AF5F6"/>
    <w:lvl w:ilvl="0" w:tplc="95B8297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53D59"/>
    <w:multiLevelType w:val="hybridMultilevel"/>
    <w:tmpl w:val="96F014C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8DD"/>
    <w:multiLevelType w:val="hybridMultilevel"/>
    <w:tmpl w:val="86F2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5C9C"/>
    <w:multiLevelType w:val="hybridMultilevel"/>
    <w:tmpl w:val="846A3EC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5D382C"/>
    <w:multiLevelType w:val="hybridMultilevel"/>
    <w:tmpl w:val="AC6AF5F6"/>
    <w:lvl w:ilvl="0" w:tplc="95B8297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536CE"/>
    <w:multiLevelType w:val="hybridMultilevel"/>
    <w:tmpl w:val="59C66556"/>
    <w:lvl w:ilvl="0" w:tplc="449A4E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E6078"/>
    <w:multiLevelType w:val="hybridMultilevel"/>
    <w:tmpl w:val="EF18FB84"/>
    <w:lvl w:ilvl="0" w:tplc="E176F7BE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061A4"/>
    <w:multiLevelType w:val="hybridMultilevel"/>
    <w:tmpl w:val="218A0014"/>
    <w:lvl w:ilvl="0" w:tplc="20000011">
      <w:start w:val="1"/>
      <w:numFmt w:val="decimal"/>
      <w:lvlText w:val="%1)"/>
      <w:lvlJc w:val="left"/>
      <w:pPr>
        <w:ind w:left="739" w:hanging="360"/>
      </w:p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" w15:restartNumberingAfterBreak="0">
    <w:nsid w:val="64293873"/>
    <w:multiLevelType w:val="hybridMultilevel"/>
    <w:tmpl w:val="1C46ED84"/>
    <w:lvl w:ilvl="0" w:tplc="449A4E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D5048"/>
    <w:multiLevelType w:val="hybridMultilevel"/>
    <w:tmpl w:val="719CC7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3497C"/>
    <w:multiLevelType w:val="hybridMultilevel"/>
    <w:tmpl w:val="719CC7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A4EB7"/>
    <w:multiLevelType w:val="hybridMultilevel"/>
    <w:tmpl w:val="F2B0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E213A"/>
    <w:multiLevelType w:val="hybridMultilevel"/>
    <w:tmpl w:val="19A66970"/>
    <w:lvl w:ilvl="0" w:tplc="449A4E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6724C"/>
    <w:multiLevelType w:val="multilevel"/>
    <w:tmpl w:val="3006C260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7"/>
  </w:num>
  <w:num w:numId="7">
    <w:abstractNumId w:val="16"/>
  </w:num>
  <w:num w:numId="8">
    <w:abstractNumId w:val="13"/>
  </w:num>
  <w:num w:numId="9">
    <w:abstractNumId w:val="0"/>
  </w:num>
  <w:num w:numId="10">
    <w:abstractNumId w:val="20"/>
  </w:num>
  <w:num w:numId="11">
    <w:abstractNumId w:val="9"/>
  </w:num>
  <w:num w:numId="12">
    <w:abstractNumId w:val="1"/>
  </w:num>
  <w:num w:numId="13">
    <w:abstractNumId w:val="6"/>
  </w:num>
  <w:num w:numId="14">
    <w:abstractNumId w:val="18"/>
  </w:num>
  <w:num w:numId="15">
    <w:abstractNumId w:val="17"/>
  </w:num>
  <w:num w:numId="16">
    <w:abstractNumId w:val="12"/>
  </w:num>
  <w:num w:numId="17">
    <w:abstractNumId w:val="8"/>
  </w:num>
  <w:num w:numId="18">
    <w:abstractNumId w:val="4"/>
  </w:num>
  <w:num w:numId="19">
    <w:abstractNumId w:val="15"/>
  </w:num>
  <w:num w:numId="20">
    <w:abstractNumId w:val="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15"/>
    <w:rsid w:val="000010FD"/>
    <w:rsid w:val="0000617A"/>
    <w:rsid w:val="000100C7"/>
    <w:rsid w:val="000100F8"/>
    <w:rsid w:val="00011941"/>
    <w:rsid w:val="00012D61"/>
    <w:rsid w:val="000135BE"/>
    <w:rsid w:val="00015A61"/>
    <w:rsid w:val="00017998"/>
    <w:rsid w:val="00017C71"/>
    <w:rsid w:val="0002136F"/>
    <w:rsid w:val="00024442"/>
    <w:rsid w:val="0003264D"/>
    <w:rsid w:val="0003348A"/>
    <w:rsid w:val="00037700"/>
    <w:rsid w:val="00040B9D"/>
    <w:rsid w:val="00041080"/>
    <w:rsid w:val="00044382"/>
    <w:rsid w:val="00047568"/>
    <w:rsid w:val="0005049E"/>
    <w:rsid w:val="00055449"/>
    <w:rsid w:val="00055D4E"/>
    <w:rsid w:val="00057E38"/>
    <w:rsid w:val="00060B21"/>
    <w:rsid w:val="0006456E"/>
    <w:rsid w:val="00064A86"/>
    <w:rsid w:val="00065110"/>
    <w:rsid w:val="00065CDC"/>
    <w:rsid w:val="000679ED"/>
    <w:rsid w:val="000703BC"/>
    <w:rsid w:val="000712B8"/>
    <w:rsid w:val="0007534F"/>
    <w:rsid w:val="00075CD9"/>
    <w:rsid w:val="00076FB6"/>
    <w:rsid w:val="00081127"/>
    <w:rsid w:val="0009176F"/>
    <w:rsid w:val="000961E7"/>
    <w:rsid w:val="000A004B"/>
    <w:rsid w:val="000A0598"/>
    <w:rsid w:val="000A1A59"/>
    <w:rsid w:val="000A3464"/>
    <w:rsid w:val="000A6C14"/>
    <w:rsid w:val="000A781B"/>
    <w:rsid w:val="000B3FE0"/>
    <w:rsid w:val="000B6997"/>
    <w:rsid w:val="000C27C0"/>
    <w:rsid w:val="000C3F76"/>
    <w:rsid w:val="000C63E5"/>
    <w:rsid w:val="000C754A"/>
    <w:rsid w:val="000D6AFD"/>
    <w:rsid w:val="000E0EAA"/>
    <w:rsid w:val="000E14F8"/>
    <w:rsid w:val="000E2E26"/>
    <w:rsid w:val="000E6910"/>
    <w:rsid w:val="000F0301"/>
    <w:rsid w:val="000F1D57"/>
    <w:rsid w:val="000F4814"/>
    <w:rsid w:val="000F7AAE"/>
    <w:rsid w:val="001004CC"/>
    <w:rsid w:val="00102F9F"/>
    <w:rsid w:val="0010697E"/>
    <w:rsid w:val="00106A0E"/>
    <w:rsid w:val="00111342"/>
    <w:rsid w:val="00111603"/>
    <w:rsid w:val="001121DC"/>
    <w:rsid w:val="001162AF"/>
    <w:rsid w:val="00116935"/>
    <w:rsid w:val="00117F87"/>
    <w:rsid w:val="00121B0C"/>
    <w:rsid w:val="001246B5"/>
    <w:rsid w:val="00124A7D"/>
    <w:rsid w:val="0013250B"/>
    <w:rsid w:val="00133879"/>
    <w:rsid w:val="00133AB1"/>
    <w:rsid w:val="00134CC9"/>
    <w:rsid w:val="00135FA5"/>
    <w:rsid w:val="001360E2"/>
    <w:rsid w:val="00136992"/>
    <w:rsid w:val="0014149A"/>
    <w:rsid w:val="00142EAA"/>
    <w:rsid w:val="001475BD"/>
    <w:rsid w:val="001503CA"/>
    <w:rsid w:val="00150D0E"/>
    <w:rsid w:val="00154869"/>
    <w:rsid w:val="00154EE0"/>
    <w:rsid w:val="001615F2"/>
    <w:rsid w:val="0016787B"/>
    <w:rsid w:val="001707FF"/>
    <w:rsid w:val="001727C5"/>
    <w:rsid w:val="00172BE6"/>
    <w:rsid w:val="0017368F"/>
    <w:rsid w:val="0017392F"/>
    <w:rsid w:val="00174127"/>
    <w:rsid w:val="0017637B"/>
    <w:rsid w:val="00184769"/>
    <w:rsid w:val="00187CBD"/>
    <w:rsid w:val="00187EA1"/>
    <w:rsid w:val="001904EC"/>
    <w:rsid w:val="001941B2"/>
    <w:rsid w:val="001947BB"/>
    <w:rsid w:val="001967FA"/>
    <w:rsid w:val="001A125D"/>
    <w:rsid w:val="001A5C62"/>
    <w:rsid w:val="001A675D"/>
    <w:rsid w:val="001B02F9"/>
    <w:rsid w:val="001B175E"/>
    <w:rsid w:val="001B4997"/>
    <w:rsid w:val="001B50E0"/>
    <w:rsid w:val="001B6253"/>
    <w:rsid w:val="001B6CBA"/>
    <w:rsid w:val="001C1A95"/>
    <w:rsid w:val="001C1EC4"/>
    <w:rsid w:val="001C35AB"/>
    <w:rsid w:val="001C377F"/>
    <w:rsid w:val="001C5198"/>
    <w:rsid w:val="001C6DD7"/>
    <w:rsid w:val="001D10AA"/>
    <w:rsid w:val="001D16CA"/>
    <w:rsid w:val="001D618F"/>
    <w:rsid w:val="001D77F6"/>
    <w:rsid w:val="001E02B6"/>
    <w:rsid w:val="001E1CF5"/>
    <w:rsid w:val="001E3E29"/>
    <w:rsid w:val="001E65C3"/>
    <w:rsid w:val="001E7DD4"/>
    <w:rsid w:val="001F268F"/>
    <w:rsid w:val="001F3863"/>
    <w:rsid w:val="001F522D"/>
    <w:rsid w:val="001F65D8"/>
    <w:rsid w:val="001F7C42"/>
    <w:rsid w:val="002004D4"/>
    <w:rsid w:val="002009A5"/>
    <w:rsid w:val="002018AA"/>
    <w:rsid w:val="00202714"/>
    <w:rsid w:val="00203DE0"/>
    <w:rsid w:val="002041B8"/>
    <w:rsid w:val="002052C6"/>
    <w:rsid w:val="00207B45"/>
    <w:rsid w:val="00211235"/>
    <w:rsid w:val="00212ADC"/>
    <w:rsid w:val="00213ECE"/>
    <w:rsid w:val="00217C3A"/>
    <w:rsid w:val="00217DEC"/>
    <w:rsid w:val="00221321"/>
    <w:rsid w:val="002220A9"/>
    <w:rsid w:val="00225822"/>
    <w:rsid w:val="00227430"/>
    <w:rsid w:val="00227D95"/>
    <w:rsid w:val="0023711E"/>
    <w:rsid w:val="00237BC4"/>
    <w:rsid w:val="00244A34"/>
    <w:rsid w:val="002472B1"/>
    <w:rsid w:val="00247EE7"/>
    <w:rsid w:val="0025195F"/>
    <w:rsid w:val="0025407E"/>
    <w:rsid w:val="002555EA"/>
    <w:rsid w:val="0025691F"/>
    <w:rsid w:val="00260649"/>
    <w:rsid w:val="00261A12"/>
    <w:rsid w:val="00262A3D"/>
    <w:rsid w:val="002643E3"/>
    <w:rsid w:val="002654CF"/>
    <w:rsid w:val="00265C48"/>
    <w:rsid w:val="00273C1B"/>
    <w:rsid w:val="00275871"/>
    <w:rsid w:val="00280735"/>
    <w:rsid w:val="00280D78"/>
    <w:rsid w:val="002811C3"/>
    <w:rsid w:val="00287DAD"/>
    <w:rsid w:val="00290657"/>
    <w:rsid w:val="00294D11"/>
    <w:rsid w:val="0029535D"/>
    <w:rsid w:val="002A602A"/>
    <w:rsid w:val="002A678D"/>
    <w:rsid w:val="002A6FD4"/>
    <w:rsid w:val="002B2679"/>
    <w:rsid w:val="002B3587"/>
    <w:rsid w:val="002B7288"/>
    <w:rsid w:val="002B7327"/>
    <w:rsid w:val="002C1D90"/>
    <w:rsid w:val="002C318C"/>
    <w:rsid w:val="002C321A"/>
    <w:rsid w:val="002C46B5"/>
    <w:rsid w:val="002D52FB"/>
    <w:rsid w:val="002D72D3"/>
    <w:rsid w:val="002E1472"/>
    <w:rsid w:val="002E4000"/>
    <w:rsid w:val="002E5BCA"/>
    <w:rsid w:val="002E6EF7"/>
    <w:rsid w:val="002F2E01"/>
    <w:rsid w:val="002F4694"/>
    <w:rsid w:val="002F5DD3"/>
    <w:rsid w:val="00305B4F"/>
    <w:rsid w:val="00306608"/>
    <w:rsid w:val="00306614"/>
    <w:rsid w:val="0031186D"/>
    <w:rsid w:val="00311C3A"/>
    <w:rsid w:val="00313D34"/>
    <w:rsid w:val="0031527C"/>
    <w:rsid w:val="00317F50"/>
    <w:rsid w:val="00321CCB"/>
    <w:rsid w:val="00322467"/>
    <w:rsid w:val="00330F5A"/>
    <w:rsid w:val="0033210A"/>
    <w:rsid w:val="003323A0"/>
    <w:rsid w:val="00333FEB"/>
    <w:rsid w:val="00334E7D"/>
    <w:rsid w:val="003405CD"/>
    <w:rsid w:val="00340BE5"/>
    <w:rsid w:val="003414D8"/>
    <w:rsid w:val="003423AD"/>
    <w:rsid w:val="00343D3F"/>
    <w:rsid w:val="003458E3"/>
    <w:rsid w:val="00350A63"/>
    <w:rsid w:val="00350EDC"/>
    <w:rsid w:val="00357962"/>
    <w:rsid w:val="003652AE"/>
    <w:rsid w:val="00366195"/>
    <w:rsid w:val="003734BD"/>
    <w:rsid w:val="00373B00"/>
    <w:rsid w:val="003757E9"/>
    <w:rsid w:val="00377427"/>
    <w:rsid w:val="003805B8"/>
    <w:rsid w:val="00381109"/>
    <w:rsid w:val="00382DA6"/>
    <w:rsid w:val="003838B2"/>
    <w:rsid w:val="003868EB"/>
    <w:rsid w:val="00386A6A"/>
    <w:rsid w:val="00387660"/>
    <w:rsid w:val="003914EC"/>
    <w:rsid w:val="0039304D"/>
    <w:rsid w:val="003946CA"/>
    <w:rsid w:val="00394CEE"/>
    <w:rsid w:val="003A2EDA"/>
    <w:rsid w:val="003A3642"/>
    <w:rsid w:val="003B2845"/>
    <w:rsid w:val="003B7A1B"/>
    <w:rsid w:val="003B7F3D"/>
    <w:rsid w:val="003B7F5C"/>
    <w:rsid w:val="003C01F8"/>
    <w:rsid w:val="003C3EDE"/>
    <w:rsid w:val="003C4140"/>
    <w:rsid w:val="003C4275"/>
    <w:rsid w:val="003C4657"/>
    <w:rsid w:val="003C5963"/>
    <w:rsid w:val="003C7DBE"/>
    <w:rsid w:val="003D110C"/>
    <w:rsid w:val="003D15ED"/>
    <w:rsid w:val="003D3CE6"/>
    <w:rsid w:val="003E0900"/>
    <w:rsid w:val="003E146D"/>
    <w:rsid w:val="003E1A7A"/>
    <w:rsid w:val="003E2050"/>
    <w:rsid w:val="003E208E"/>
    <w:rsid w:val="003E2143"/>
    <w:rsid w:val="003E278F"/>
    <w:rsid w:val="003E2D16"/>
    <w:rsid w:val="003E3580"/>
    <w:rsid w:val="003E3732"/>
    <w:rsid w:val="003E6F5B"/>
    <w:rsid w:val="003F2E32"/>
    <w:rsid w:val="003F2FB2"/>
    <w:rsid w:val="00400BF3"/>
    <w:rsid w:val="004026E2"/>
    <w:rsid w:val="00402BC2"/>
    <w:rsid w:val="0040731F"/>
    <w:rsid w:val="004105A7"/>
    <w:rsid w:val="004110AE"/>
    <w:rsid w:val="004121FE"/>
    <w:rsid w:val="00412A7F"/>
    <w:rsid w:val="00415995"/>
    <w:rsid w:val="00420652"/>
    <w:rsid w:val="00426823"/>
    <w:rsid w:val="00430A92"/>
    <w:rsid w:val="00432044"/>
    <w:rsid w:val="00432500"/>
    <w:rsid w:val="00437C52"/>
    <w:rsid w:val="004403C3"/>
    <w:rsid w:val="00441F37"/>
    <w:rsid w:val="00442317"/>
    <w:rsid w:val="004440EC"/>
    <w:rsid w:val="00444604"/>
    <w:rsid w:val="00444A6F"/>
    <w:rsid w:val="004457E3"/>
    <w:rsid w:val="00445968"/>
    <w:rsid w:val="00445976"/>
    <w:rsid w:val="004473DB"/>
    <w:rsid w:val="004501B2"/>
    <w:rsid w:val="00450547"/>
    <w:rsid w:val="004552B9"/>
    <w:rsid w:val="0045703F"/>
    <w:rsid w:val="004625E9"/>
    <w:rsid w:val="0046297F"/>
    <w:rsid w:val="00466C83"/>
    <w:rsid w:val="00467642"/>
    <w:rsid w:val="00467C1A"/>
    <w:rsid w:val="004752DA"/>
    <w:rsid w:val="00477ABB"/>
    <w:rsid w:val="004807A8"/>
    <w:rsid w:val="00491D8F"/>
    <w:rsid w:val="00492BF0"/>
    <w:rsid w:val="004A200F"/>
    <w:rsid w:val="004A61D5"/>
    <w:rsid w:val="004B457D"/>
    <w:rsid w:val="004B53B1"/>
    <w:rsid w:val="004B55A7"/>
    <w:rsid w:val="004B7E45"/>
    <w:rsid w:val="004C3CC5"/>
    <w:rsid w:val="004C4EA9"/>
    <w:rsid w:val="004C7845"/>
    <w:rsid w:val="004D131E"/>
    <w:rsid w:val="004D419A"/>
    <w:rsid w:val="004D42D4"/>
    <w:rsid w:val="004D5059"/>
    <w:rsid w:val="004D74D4"/>
    <w:rsid w:val="004E0EF1"/>
    <w:rsid w:val="004E104E"/>
    <w:rsid w:val="004E35C3"/>
    <w:rsid w:val="004E37AC"/>
    <w:rsid w:val="004E549A"/>
    <w:rsid w:val="004E63A2"/>
    <w:rsid w:val="004F5B40"/>
    <w:rsid w:val="004F6833"/>
    <w:rsid w:val="004F7108"/>
    <w:rsid w:val="00500F7D"/>
    <w:rsid w:val="00501085"/>
    <w:rsid w:val="00502480"/>
    <w:rsid w:val="00507FBE"/>
    <w:rsid w:val="00512425"/>
    <w:rsid w:val="005129D5"/>
    <w:rsid w:val="00513863"/>
    <w:rsid w:val="00514B1E"/>
    <w:rsid w:val="00517C9B"/>
    <w:rsid w:val="00517F23"/>
    <w:rsid w:val="00524288"/>
    <w:rsid w:val="00524921"/>
    <w:rsid w:val="00531286"/>
    <w:rsid w:val="00531C71"/>
    <w:rsid w:val="005324EC"/>
    <w:rsid w:val="005329BF"/>
    <w:rsid w:val="00534661"/>
    <w:rsid w:val="00540F0E"/>
    <w:rsid w:val="00541407"/>
    <w:rsid w:val="0054686C"/>
    <w:rsid w:val="00550179"/>
    <w:rsid w:val="00551A31"/>
    <w:rsid w:val="005528BA"/>
    <w:rsid w:val="005528BB"/>
    <w:rsid w:val="00555956"/>
    <w:rsid w:val="00560172"/>
    <w:rsid w:val="005621B8"/>
    <w:rsid w:val="005623CD"/>
    <w:rsid w:val="00563B8C"/>
    <w:rsid w:val="00564EB6"/>
    <w:rsid w:val="00565BF6"/>
    <w:rsid w:val="0056624B"/>
    <w:rsid w:val="00574D4A"/>
    <w:rsid w:val="00575F30"/>
    <w:rsid w:val="005767A2"/>
    <w:rsid w:val="00580530"/>
    <w:rsid w:val="005817FF"/>
    <w:rsid w:val="00584334"/>
    <w:rsid w:val="0058529B"/>
    <w:rsid w:val="00585ADC"/>
    <w:rsid w:val="005926F6"/>
    <w:rsid w:val="005A0DDB"/>
    <w:rsid w:val="005B10D7"/>
    <w:rsid w:val="005B1ED2"/>
    <w:rsid w:val="005B2DC7"/>
    <w:rsid w:val="005C04F0"/>
    <w:rsid w:val="005C110F"/>
    <w:rsid w:val="005C3283"/>
    <w:rsid w:val="005C363C"/>
    <w:rsid w:val="005C42FB"/>
    <w:rsid w:val="005C6CAC"/>
    <w:rsid w:val="005D1AAC"/>
    <w:rsid w:val="005D3E4B"/>
    <w:rsid w:val="005D56E1"/>
    <w:rsid w:val="005D6C24"/>
    <w:rsid w:val="005D7B6F"/>
    <w:rsid w:val="005E0C9C"/>
    <w:rsid w:val="005E0CD7"/>
    <w:rsid w:val="005E74A4"/>
    <w:rsid w:val="005F0B1C"/>
    <w:rsid w:val="005F17B1"/>
    <w:rsid w:val="005F4123"/>
    <w:rsid w:val="005F4472"/>
    <w:rsid w:val="005F68D9"/>
    <w:rsid w:val="005F79AD"/>
    <w:rsid w:val="0060004C"/>
    <w:rsid w:val="0061046D"/>
    <w:rsid w:val="0062375B"/>
    <w:rsid w:val="00627502"/>
    <w:rsid w:val="0062763E"/>
    <w:rsid w:val="006349BE"/>
    <w:rsid w:val="006350B4"/>
    <w:rsid w:val="006353F5"/>
    <w:rsid w:val="00640610"/>
    <w:rsid w:val="006446F9"/>
    <w:rsid w:val="00646C6A"/>
    <w:rsid w:val="006511F1"/>
    <w:rsid w:val="006518F8"/>
    <w:rsid w:val="0065301C"/>
    <w:rsid w:val="006540BE"/>
    <w:rsid w:val="00660C36"/>
    <w:rsid w:val="006617F7"/>
    <w:rsid w:val="00663DF7"/>
    <w:rsid w:val="0066677C"/>
    <w:rsid w:val="00670350"/>
    <w:rsid w:val="00670562"/>
    <w:rsid w:val="00670BD8"/>
    <w:rsid w:val="00680F69"/>
    <w:rsid w:val="00681012"/>
    <w:rsid w:val="00681D21"/>
    <w:rsid w:val="00682B5C"/>
    <w:rsid w:val="0069110D"/>
    <w:rsid w:val="0069494D"/>
    <w:rsid w:val="006A6CD0"/>
    <w:rsid w:val="006A72A3"/>
    <w:rsid w:val="006B0D54"/>
    <w:rsid w:val="006B17DE"/>
    <w:rsid w:val="006B1D84"/>
    <w:rsid w:val="006B1E1A"/>
    <w:rsid w:val="006B45C8"/>
    <w:rsid w:val="006B4664"/>
    <w:rsid w:val="006D4DF0"/>
    <w:rsid w:val="006D539C"/>
    <w:rsid w:val="006D54BF"/>
    <w:rsid w:val="006E0239"/>
    <w:rsid w:val="006E14CE"/>
    <w:rsid w:val="006E1F5D"/>
    <w:rsid w:val="006E206E"/>
    <w:rsid w:val="006E349F"/>
    <w:rsid w:val="006E51A3"/>
    <w:rsid w:val="006F1C81"/>
    <w:rsid w:val="006F2E62"/>
    <w:rsid w:val="00701FA2"/>
    <w:rsid w:val="00702D47"/>
    <w:rsid w:val="007060CC"/>
    <w:rsid w:val="00707715"/>
    <w:rsid w:val="00710488"/>
    <w:rsid w:val="00710961"/>
    <w:rsid w:val="00711156"/>
    <w:rsid w:val="00711839"/>
    <w:rsid w:val="00712377"/>
    <w:rsid w:val="00712449"/>
    <w:rsid w:val="0071266B"/>
    <w:rsid w:val="00712FEB"/>
    <w:rsid w:val="00713866"/>
    <w:rsid w:val="00714910"/>
    <w:rsid w:val="007150B0"/>
    <w:rsid w:val="007162AB"/>
    <w:rsid w:val="007313D4"/>
    <w:rsid w:val="00732BE1"/>
    <w:rsid w:val="00732C0B"/>
    <w:rsid w:val="00732CA6"/>
    <w:rsid w:val="00732EDB"/>
    <w:rsid w:val="00733C05"/>
    <w:rsid w:val="00735B6F"/>
    <w:rsid w:val="0074085D"/>
    <w:rsid w:val="0074210D"/>
    <w:rsid w:val="00750FBF"/>
    <w:rsid w:val="007529D8"/>
    <w:rsid w:val="007604EC"/>
    <w:rsid w:val="00762044"/>
    <w:rsid w:val="00762A12"/>
    <w:rsid w:val="00765F3F"/>
    <w:rsid w:val="00765F57"/>
    <w:rsid w:val="0077103D"/>
    <w:rsid w:val="00772A0C"/>
    <w:rsid w:val="0077485E"/>
    <w:rsid w:val="0077506F"/>
    <w:rsid w:val="00775C0C"/>
    <w:rsid w:val="007762C8"/>
    <w:rsid w:val="007818DD"/>
    <w:rsid w:val="00786E2B"/>
    <w:rsid w:val="00787597"/>
    <w:rsid w:val="00787B5E"/>
    <w:rsid w:val="0079042B"/>
    <w:rsid w:val="00790D8E"/>
    <w:rsid w:val="00793A18"/>
    <w:rsid w:val="0079535A"/>
    <w:rsid w:val="00795C2E"/>
    <w:rsid w:val="00796C77"/>
    <w:rsid w:val="007A063C"/>
    <w:rsid w:val="007A2371"/>
    <w:rsid w:val="007A76C8"/>
    <w:rsid w:val="007A7CD6"/>
    <w:rsid w:val="007A7F0B"/>
    <w:rsid w:val="007B3630"/>
    <w:rsid w:val="007B3A4B"/>
    <w:rsid w:val="007B6AA8"/>
    <w:rsid w:val="007C2422"/>
    <w:rsid w:val="007C2981"/>
    <w:rsid w:val="007C6994"/>
    <w:rsid w:val="007C7C19"/>
    <w:rsid w:val="007D019E"/>
    <w:rsid w:val="007D13AB"/>
    <w:rsid w:val="007D348B"/>
    <w:rsid w:val="007D58D8"/>
    <w:rsid w:val="007E015F"/>
    <w:rsid w:val="007E1757"/>
    <w:rsid w:val="007E1F00"/>
    <w:rsid w:val="007E2549"/>
    <w:rsid w:val="007E2860"/>
    <w:rsid w:val="007E2CD4"/>
    <w:rsid w:val="007E3D05"/>
    <w:rsid w:val="007E4262"/>
    <w:rsid w:val="007F3A1B"/>
    <w:rsid w:val="007F4E5D"/>
    <w:rsid w:val="007F51D1"/>
    <w:rsid w:val="007F705E"/>
    <w:rsid w:val="00802F04"/>
    <w:rsid w:val="00804975"/>
    <w:rsid w:val="00805630"/>
    <w:rsid w:val="0081140C"/>
    <w:rsid w:val="00812514"/>
    <w:rsid w:val="008134BB"/>
    <w:rsid w:val="0081449E"/>
    <w:rsid w:val="008211B0"/>
    <w:rsid w:val="00821EAC"/>
    <w:rsid w:val="00826CF2"/>
    <w:rsid w:val="0082714B"/>
    <w:rsid w:val="00827BC0"/>
    <w:rsid w:val="00830879"/>
    <w:rsid w:val="00830B1C"/>
    <w:rsid w:val="0083164F"/>
    <w:rsid w:val="00832842"/>
    <w:rsid w:val="008332EB"/>
    <w:rsid w:val="008342F3"/>
    <w:rsid w:val="00840439"/>
    <w:rsid w:val="00842E77"/>
    <w:rsid w:val="00843607"/>
    <w:rsid w:val="00845614"/>
    <w:rsid w:val="0084616B"/>
    <w:rsid w:val="00851193"/>
    <w:rsid w:val="008531B1"/>
    <w:rsid w:val="0085543D"/>
    <w:rsid w:val="00855BA9"/>
    <w:rsid w:val="0086184B"/>
    <w:rsid w:val="00866EDE"/>
    <w:rsid w:val="00867BDB"/>
    <w:rsid w:val="00871D17"/>
    <w:rsid w:val="0087244A"/>
    <w:rsid w:val="00875BD2"/>
    <w:rsid w:val="0087627D"/>
    <w:rsid w:val="00877C97"/>
    <w:rsid w:val="00882DFB"/>
    <w:rsid w:val="00884FC8"/>
    <w:rsid w:val="008929CD"/>
    <w:rsid w:val="00897673"/>
    <w:rsid w:val="00897B38"/>
    <w:rsid w:val="008A0DF8"/>
    <w:rsid w:val="008A1306"/>
    <w:rsid w:val="008A1593"/>
    <w:rsid w:val="008B09F8"/>
    <w:rsid w:val="008B1F3A"/>
    <w:rsid w:val="008B517A"/>
    <w:rsid w:val="008B5DC2"/>
    <w:rsid w:val="008B6B8F"/>
    <w:rsid w:val="008C36EF"/>
    <w:rsid w:val="008D184E"/>
    <w:rsid w:val="008E6E44"/>
    <w:rsid w:val="008E7BF7"/>
    <w:rsid w:val="008F06C2"/>
    <w:rsid w:val="008F0F46"/>
    <w:rsid w:val="008F16B8"/>
    <w:rsid w:val="008F3FA5"/>
    <w:rsid w:val="008F6CF1"/>
    <w:rsid w:val="00901161"/>
    <w:rsid w:val="00903EDF"/>
    <w:rsid w:val="009061DD"/>
    <w:rsid w:val="009109E6"/>
    <w:rsid w:val="00912403"/>
    <w:rsid w:val="0091306D"/>
    <w:rsid w:val="00915C05"/>
    <w:rsid w:val="00920F4E"/>
    <w:rsid w:val="00921832"/>
    <w:rsid w:val="00922CEC"/>
    <w:rsid w:val="009233C6"/>
    <w:rsid w:val="00927AD5"/>
    <w:rsid w:val="009309C0"/>
    <w:rsid w:val="00930F92"/>
    <w:rsid w:val="00931AEA"/>
    <w:rsid w:val="00937A6A"/>
    <w:rsid w:val="00943357"/>
    <w:rsid w:val="00944299"/>
    <w:rsid w:val="0094445F"/>
    <w:rsid w:val="00944F07"/>
    <w:rsid w:val="00946D34"/>
    <w:rsid w:val="00947612"/>
    <w:rsid w:val="0096224B"/>
    <w:rsid w:val="00962398"/>
    <w:rsid w:val="00962549"/>
    <w:rsid w:val="009629B1"/>
    <w:rsid w:val="00964B7E"/>
    <w:rsid w:val="00967A2D"/>
    <w:rsid w:val="00970554"/>
    <w:rsid w:val="00971F53"/>
    <w:rsid w:val="00973DA2"/>
    <w:rsid w:val="009759DB"/>
    <w:rsid w:val="00976ED8"/>
    <w:rsid w:val="00981476"/>
    <w:rsid w:val="009832D7"/>
    <w:rsid w:val="009860EB"/>
    <w:rsid w:val="00992961"/>
    <w:rsid w:val="00993FAE"/>
    <w:rsid w:val="009A333E"/>
    <w:rsid w:val="009A3EF2"/>
    <w:rsid w:val="009A6EE4"/>
    <w:rsid w:val="009B07EA"/>
    <w:rsid w:val="009B17C8"/>
    <w:rsid w:val="009B237D"/>
    <w:rsid w:val="009B3275"/>
    <w:rsid w:val="009B7178"/>
    <w:rsid w:val="009B7785"/>
    <w:rsid w:val="009C082F"/>
    <w:rsid w:val="009C60BE"/>
    <w:rsid w:val="009C7807"/>
    <w:rsid w:val="009C7CE9"/>
    <w:rsid w:val="009C7F8C"/>
    <w:rsid w:val="009D0089"/>
    <w:rsid w:val="009D0C68"/>
    <w:rsid w:val="009D1AB1"/>
    <w:rsid w:val="009E00B8"/>
    <w:rsid w:val="009E05C3"/>
    <w:rsid w:val="009E0E6C"/>
    <w:rsid w:val="009E32AA"/>
    <w:rsid w:val="009E38D4"/>
    <w:rsid w:val="009E39EE"/>
    <w:rsid w:val="009F27C5"/>
    <w:rsid w:val="009F459D"/>
    <w:rsid w:val="009F5F0D"/>
    <w:rsid w:val="009F6B79"/>
    <w:rsid w:val="009F7F56"/>
    <w:rsid w:val="00A01FFC"/>
    <w:rsid w:val="00A0538B"/>
    <w:rsid w:val="00A05649"/>
    <w:rsid w:val="00A0564F"/>
    <w:rsid w:val="00A1002A"/>
    <w:rsid w:val="00A11478"/>
    <w:rsid w:val="00A126BF"/>
    <w:rsid w:val="00A23D39"/>
    <w:rsid w:val="00A241CC"/>
    <w:rsid w:val="00A268E0"/>
    <w:rsid w:val="00A310D0"/>
    <w:rsid w:val="00A324C4"/>
    <w:rsid w:val="00A413F2"/>
    <w:rsid w:val="00A41BAD"/>
    <w:rsid w:val="00A42B1E"/>
    <w:rsid w:val="00A46153"/>
    <w:rsid w:val="00A521A1"/>
    <w:rsid w:val="00A5356E"/>
    <w:rsid w:val="00A5613C"/>
    <w:rsid w:val="00A56F99"/>
    <w:rsid w:val="00A64343"/>
    <w:rsid w:val="00A64BDA"/>
    <w:rsid w:val="00A6534B"/>
    <w:rsid w:val="00A7152C"/>
    <w:rsid w:val="00A736F9"/>
    <w:rsid w:val="00A77D1F"/>
    <w:rsid w:val="00A81B0A"/>
    <w:rsid w:val="00A835A7"/>
    <w:rsid w:val="00A83BB6"/>
    <w:rsid w:val="00A84354"/>
    <w:rsid w:val="00A8569C"/>
    <w:rsid w:val="00AA1B33"/>
    <w:rsid w:val="00AA4513"/>
    <w:rsid w:val="00AA50BE"/>
    <w:rsid w:val="00AB0495"/>
    <w:rsid w:val="00AB501E"/>
    <w:rsid w:val="00AB60A6"/>
    <w:rsid w:val="00AC17EF"/>
    <w:rsid w:val="00AC40F0"/>
    <w:rsid w:val="00AC59BC"/>
    <w:rsid w:val="00AC6B4F"/>
    <w:rsid w:val="00AC7A3C"/>
    <w:rsid w:val="00AC7C65"/>
    <w:rsid w:val="00AD547B"/>
    <w:rsid w:val="00AD56C7"/>
    <w:rsid w:val="00AE2724"/>
    <w:rsid w:val="00AE3EAE"/>
    <w:rsid w:val="00AF3915"/>
    <w:rsid w:val="00B02E89"/>
    <w:rsid w:val="00B0609C"/>
    <w:rsid w:val="00B073FD"/>
    <w:rsid w:val="00B07927"/>
    <w:rsid w:val="00B0793E"/>
    <w:rsid w:val="00B104DD"/>
    <w:rsid w:val="00B13251"/>
    <w:rsid w:val="00B1403A"/>
    <w:rsid w:val="00B14141"/>
    <w:rsid w:val="00B16F48"/>
    <w:rsid w:val="00B2207F"/>
    <w:rsid w:val="00B2402D"/>
    <w:rsid w:val="00B2649C"/>
    <w:rsid w:val="00B26EA3"/>
    <w:rsid w:val="00B31E94"/>
    <w:rsid w:val="00B32F7F"/>
    <w:rsid w:val="00B33305"/>
    <w:rsid w:val="00B36FB0"/>
    <w:rsid w:val="00B418F3"/>
    <w:rsid w:val="00B41D1B"/>
    <w:rsid w:val="00B45B57"/>
    <w:rsid w:val="00B46D65"/>
    <w:rsid w:val="00B52707"/>
    <w:rsid w:val="00B52EE6"/>
    <w:rsid w:val="00B53975"/>
    <w:rsid w:val="00B54960"/>
    <w:rsid w:val="00B55DC3"/>
    <w:rsid w:val="00B6501A"/>
    <w:rsid w:val="00B716A3"/>
    <w:rsid w:val="00B75272"/>
    <w:rsid w:val="00B778BF"/>
    <w:rsid w:val="00B80F89"/>
    <w:rsid w:val="00B81062"/>
    <w:rsid w:val="00B84318"/>
    <w:rsid w:val="00B84FEE"/>
    <w:rsid w:val="00B856D1"/>
    <w:rsid w:val="00B932FC"/>
    <w:rsid w:val="00B93890"/>
    <w:rsid w:val="00B93ADE"/>
    <w:rsid w:val="00B94B45"/>
    <w:rsid w:val="00BA02FA"/>
    <w:rsid w:val="00BA35A4"/>
    <w:rsid w:val="00BA5B31"/>
    <w:rsid w:val="00BB2D26"/>
    <w:rsid w:val="00BB6FD4"/>
    <w:rsid w:val="00BB79A6"/>
    <w:rsid w:val="00BB7EE4"/>
    <w:rsid w:val="00BC3A03"/>
    <w:rsid w:val="00BC688D"/>
    <w:rsid w:val="00BD1AEC"/>
    <w:rsid w:val="00BD31F3"/>
    <w:rsid w:val="00BD52A2"/>
    <w:rsid w:val="00BD6899"/>
    <w:rsid w:val="00BE0710"/>
    <w:rsid w:val="00BE291A"/>
    <w:rsid w:val="00BE3143"/>
    <w:rsid w:val="00BE5B95"/>
    <w:rsid w:val="00BE5E07"/>
    <w:rsid w:val="00BF128C"/>
    <w:rsid w:val="00BF156D"/>
    <w:rsid w:val="00BF2856"/>
    <w:rsid w:val="00BF4CB9"/>
    <w:rsid w:val="00BF6205"/>
    <w:rsid w:val="00C00B5A"/>
    <w:rsid w:val="00C017CA"/>
    <w:rsid w:val="00C01A94"/>
    <w:rsid w:val="00C03755"/>
    <w:rsid w:val="00C117C8"/>
    <w:rsid w:val="00C1266C"/>
    <w:rsid w:val="00C168EB"/>
    <w:rsid w:val="00C17123"/>
    <w:rsid w:val="00C17267"/>
    <w:rsid w:val="00C34BB0"/>
    <w:rsid w:val="00C35254"/>
    <w:rsid w:val="00C40566"/>
    <w:rsid w:val="00C41FDF"/>
    <w:rsid w:val="00C466DF"/>
    <w:rsid w:val="00C5020C"/>
    <w:rsid w:val="00C5077A"/>
    <w:rsid w:val="00C509CB"/>
    <w:rsid w:val="00C62572"/>
    <w:rsid w:val="00C72459"/>
    <w:rsid w:val="00C729AB"/>
    <w:rsid w:val="00C729AD"/>
    <w:rsid w:val="00C7658D"/>
    <w:rsid w:val="00C77024"/>
    <w:rsid w:val="00C8154F"/>
    <w:rsid w:val="00C83A57"/>
    <w:rsid w:val="00C846C7"/>
    <w:rsid w:val="00C84BC3"/>
    <w:rsid w:val="00C85E64"/>
    <w:rsid w:val="00C87F80"/>
    <w:rsid w:val="00C9130E"/>
    <w:rsid w:val="00C92481"/>
    <w:rsid w:val="00C96A3D"/>
    <w:rsid w:val="00C96D5B"/>
    <w:rsid w:val="00CA1FCC"/>
    <w:rsid w:val="00CA207C"/>
    <w:rsid w:val="00CB1059"/>
    <w:rsid w:val="00CB1F03"/>
    <w:rsid w:val="00CB5DA9"/>
    <w:rsid w:val="00CB7221"/>
    <w:rsid w:val="00CC6863"/>
    <w:rsid w:val="00CD18FB"/>
    <w:rsid w:val="00CD4313"/>
    <w:rsid w:val="00CD52A0"/>
    <w:rsid w:val="00CD6AAE"/>
    <w:rsid w:val="00CE20EA"/>
    <w:rsid w:val="00CE43D3"/>
    <w:rsid w:val="00CF05FA"/>
    <w:rsid w:val="00CF0792"/>
    <w:rsid w:val="00CF2C28"/>
    <w:rsid w:val="00CF3550"/>
    <w:rsid w:val="00D004D8"/>
    <w:rsid w:val="00D039C9"/>
    <w:rsid w:val="00D0586A"/>
    <w:rsid w:val="00D05A45"/>
    <w:rsid w:val="00D116A5"/>
    <w:rsid w:val="00D11870"/>
    <w:rsid w:val="00D11F4C"/>
    <w:rsid w:val="00D2019B"/>
    <w:rsid w:val="00D222A6"/>
    <w:rsid w:val="00D24B55"/>
    <w:rsid w:val="00D3060D"/>
    <w:rsid w:val="00D31325"/>
    <w:rsid w:val="00D366D7"/>
    <w:rsid w:val="00D400B4"/>
    <w:rsid w:val="00D40A4E"/>
    <w:rsid w:val="00D41422"/>
    <w:rsid w:val="00D41586"/>
    <w:rsid w:val="00D417C9"/>
    <w:rsid w:val="00D4461D"/>
    <w:rsid w:val="00D457B6"/>
    <w:rsid w:val="00D46DA0"/>
    <w:rsid w:val="00D5190E"/>
    <w:rsid w:val="00D55A76"/>
    <w:rsid w:val="00D55CAB"/>
    <w:rsid w:val="00D562FC"/>
    <w:rsid w:val="00D56E38"/>
    <w:rsid w:val="00D6068E"/>
    <w:rsid w:val="00D62F33"/>
    <w:rsid w:val="00D6400D"/>
    <w:rsid w:val="00D641E8"/>
    <w:rsid w:val="00D71353"/>
    <w:rsid w:val="00D71BFA"/>
    <w:rsid w:val="00D733C1"/>
    <w:rsid w:val="00D81628"/>
    <w:rsid w:val="00D833CA"/>
    <w:rsid w:val="00D85EA2"/>
    <w:rsid w:val="00D8611A"/>
    <w:rsid w:val="00D8699F"/>
    <w:rsid w:val="00D90CBE"/>
    <w:rsid w:val="00D91789"/>
    <w:rsid w:val="00DA3091"/>
    <w:rsid w:val="00DA360E"/>
    <w:rsid w:val="00DB083E"/>
    <w:rsid w:val="00DB44BB"/>
    <w:rsid w:val="00DB5AEB"/>
    <w:rsid w:val="00DC17BD"/>
    <w:rsid w:val="00DC258F"/>
    <w:rsid w:val="00DC305B"/>
    <w:rsid w:val="00DC3496"/>
    <w:rsid w:val="00DC6229"/>
    <w:rsid w:val="00DD04E1"/>
    <w:rsid w:val="00DD4186"/>
    <w:rsid w:val="00DD4AF8"/>
    <w:rsid w:val="00DD6457"/>
    <w:rsid w:val="00DD6ABD"/>
    <w:rsid w:val="00DE1262"/>
    <w:rsid w:val="00DE1611"/>
    <w:rsid w:val="00DE2C1E"/>
    <w:rsid w:val="00DE4A06"/>
    <w:rsid w:val="00DF2D20"/>
    <w:rsid w:val="00DF325C"/>
    <w:rsid w:val="00DF4CFD"/>
    <w:rsid w:val="00DF5467"/>
    <w:rsid w:val="00DF717E"/>
    <w:rsid w:val="00E01713"/>
    <w:rsid w:val="00E021E9"/>
    <w:rsid w:val="00E053E0"/>
    <w:rsid w:val="00E05CC1"/>
    <w:rsid w:val="00E1398C"/>
    <w:rsid w:val="00E1590F"/>
    <w:rsid w:val="00E162FC"/>
    <w:rsid w:val="00E17C24"/>
    <w:rsid w:val="00E232C3"/>
    <w:rsid w:val="00E266CF"/>
    <w:rsid w:val="00E27F5B"/>
    <w:rsid w:val="00E42921"/>
    <w:rsid w:val="00E47760"/>
    <w:rsid w:val="00E51B3B"/>
    <w:rsid w:val="00E531D5"/>
    <w:rsid w:val="00E53C18"/>
    <w:rsid w:val="00E5709D"/>
    <w:rsid w:val="00E571F4"/>
    <w:rsid w:val="00E60483"/>
    <w:rsid w:val="00E63026"/>
    <w:rsid w:val="00E74D0C"/>
    <w:rsid w:val="00E81EEB"/>
    <w:rsid w:val="00E83F77"/>
    <w:rsid w:val="00E9023A"/>
    <w:rsid w:val="00E9726B"/>
    <w:rsid w:val="00E977AB"/>
    <w:rsid w:val="00EA109D"/>
    <w:rsid w:val="00EA1793"/>
    <w:rsid w:val="00EA39C2"/>
    <w:rsid w:val="00EA6580"/>
    <w:rsid w:val="00EA6B4A"/>
    <w:rsid w:val="00EA733B"/>
    <w:rsid w:val="00EB015A"/>
    <w:rsid w:val="00EB0F37"/>
    <w:rsid w:val="00EB24FB"/>
    <w:rsid w:val="00EB2CB9"/>
    <w:rsid w:val="00EB2D12"/>
    <w:rsid w:val="00EB7307"/>
    <w:rsid w:val="00EC0D47"/>
    <w:rsid w:val="00EC1540"/>
    <w:rsid w:val="00EC51A9"/>
    <w:rsid w:val="00EC7992"/>
    <w:rsid w:val="00ED05F5"/>
    <w:rsid w:val="00ED2F0B"/>
    <w:rsid w:val="00ED4E4F"/>
    <w:rsid w:val="00ED4EF0"/>
    <w:rsid w:val="00ED5F7D"/>
    <w:rsid w:val="00ED641F"/>
    <w:rsid w:val="00ED74D2"/>
    <w:rsid w:val="00ED79CB"/>
    <w:rsid w:val="00EE5772"/>
    <w:rsid w:val="00EE7CEB"/>
    <w:rsid w:val="00EF30F3"/>
    <w:rsid w:val="00EF3BAA"/>
    <w:rsid w:val="00EF46AC"/>
    <w:rsid w:val="00EF4C7F"/>
    <w:rsid w:val="00EF6078"/>
    <w:rsid w:val="00F00354"/>
    <w:rsid w:val="00F00C80"/>
    <w:rsid w:val="00F00E37"/>
    <w:rsid w:val="00F10C01"/>
    <w:rsid w:val="00F10F60"/>
    <w:rsid w:val="00F151AB"/>
    <w:rsid w:val="00F15CBA"/>
    <w:rsid w:val="00F1694C"/>
    <w:rsid w:val="00F2417A"/>
    <w:rsid w:val="00F25A19"/>
    <w:rsid w:val="00F350DF"/>
    <w:rsid w:val="00F45DEC"/>
    <w:rsid w:val="00F47604"/>
    <w:rsid w:val="00F529CD"/>
    <w:rsid w:val="00F5489E"/>
    <w:rsid w:val="00F6615F"/>
    <w:rsid w:val="00F70009"/>
    <w:rsid w:val="00F70A25"/>
    <w:rsid w:val="00F73403"/>
    <w:rsid w:val="00F744C2"/>
    <w:rsid w:val="00F7629F"/>
    <w:rsid w:val="00F82180"/>
    <w:rsid w:val="00F83AC2"/>
    <w:rsid w:val="00F872EE"/>
    <w:rsid w:val="00F928F3"/>
    <w:rsid w:val="00F946CA"/>
    <w:rsid w:val="00F95F9E"/>
    <w:rsid w:val="00F97C59"/>
    <w:rsid w:val="00FA0E55"/>
    <w:rsid w:val="00FA1552"/>
    <w:rsid w:val="00FA54B3"/>
    <w:rsid w:val="00FA6241"/>
    <w:rsid w:val="00FB0108"/>
    <w:rsid w:val="00FB1771"/>
    <w:rsid w:val="00FB506F"/>
    <w:rsid w:val="00FC23FA"/>
    <w:rsid w:val="00FC32D0"/>
    <w:rsid w:val="00FC3A49"/>
    <w:rsid w:val="00FC4385"/>
    <w:rsid w:val="00FC4971"/>
    <w:rsid w:val="00FD18A0"/>
    <w:rsid w:val="00FD1AC6"/>
    <w:rsid w:val="00FD34D5"/>
    <w:rsid w:val="00FD350E"/>
    <w:rsid w:val="00FD3A5F"/>
    <w:rsid w:val="00FE040A"/>
    <w:rsid w:val="00FE483E"/>
    <w:rsid w:val="00FF554D"/>
    <w:rsid w:val="00FF6E06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AD64"/>
  <w15:docId w15:val="{996DE812-A43E-4835-AE3F-6AAC9323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4B5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280" w:after="280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Normal (Web)"/>
    <w:basedOn w:val="a"/>
    <w:uiPriority w:val="99"/>
    <w:unhideWhenUsed/>
    <w:rsid w:val="005A0DD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03D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3DE0"/>
    <w:rPr>
      <w:rFonts w:ascii="Segoe UI" w:hAnsi="Segoe UI" w:cs="Segoe UI"/>
      <w:sz w:val="18"/>
      <w:szCs w:val="18"/>
    </w:rPr>
  </w:style>
  <w:style w:type="paragraph" w:styleId="a8">
    <w:name w:val="List Paragraph"/>
    <w:aliases w:val="Heading 2_sj,Título Tablas y Figuras,Párrafo,DINFO_Materia,List 100s,WB Para,Liste 1,Paragraphe  revu,Paragraphe de liste1,List Paragraph nowy,References,Medium Grid 1 - Accent 21,Numbered List Paragraph,ReferencesCxSpLast,title 3,Figure"/>
    <w:basedOn w:val="a"/>
    <w:link w:val="a9"/>
    <w:uiPriority w:val="34"/>
    <w:qFormat/>
    <w:rsid w:val="005D7B6F"/>
    <w:pPr>
      <w:ind w:left="720"/>
      <w:contextualSpacing/>
    </w:pPr>
  </w:style>
  <w:style w:type="character" w:customStyle="1" w:styleId="a9">
    <w:name w:val="Абзац списка Знак"/>
    <w:aliases w:val="Heading 2_sj Знак,Título Tablas y Figuras Знак,Párrafo Знак,DINFO_Materia Знак,List 100s Знак,WB Para Знак,Liste 1 Знак,Paragraphe  revu Знак,Paragraphe de liste1 Знак,List Paragraph nowy Знак,References Знак,ReferencesCxSpLast Знак"/>
    <w:link w:val="a8"/>
    <w:uiPriority w:val="34"/>
    <w:locked/>
    <w:rsid w:val="005D7B6F"/>
  </w:style>
  <w:style w:type="character" w:customStyle="1" w:styleId="30">
    <w:name w:val="Заголовок 3 Знак"/>
    <w:basedOn w:val="a0"/>
    <w:link w:val="3"/>
    <w:uiPriority w:val="9"/>
    <w:rsid w:val="004D74D4"/>
    <w:rPr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AEF9E-AE0F-4C89-B302-CD381AF5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5043</Words>
  <Characters>28750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Токтанова</dc:creator>
  <cp:keywords/>
  <dc:description/>
  <cp:lastModifiedBy>Азат Мухамеджанов</cp:lastModifiedBy>
  <cp:revision>7</cp:revision>
  <cp:lastPrinted>2024-02-02T09:10:00Z</cp:lastPrinted>
  <dcterms:created xsi:type="dcterms:W3CDTF">2025-01-05T11:26:00Z</dcterms:created>
  <dcterms:modified xsi:type="dcterms:W3CDTF">2025-01-08T09:48:00Z</dcterms:modified>
</cp:coreProperties>
</file>