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5" w:rsidRDefault="00DA29B5" w:rsidP="00E213EA">
      <w:pPr>
        <w:jc w:val="center"/>
        <w:rPr>
          <w:b/>
          <w:color w:val="000000"/>
          <w:sz w:val="28"/>
          <w:szCs w:val="28"/>
          <w:lang w:val="kk-KZ"/>
        </w:rPr>
      </w:pPr>
      <w:proofErr w:type="spellStart"/>
      <w:r w:rsidRPr="00E44761">
        <w:rPr>
          <w:b/>
          <w:color w:val="000000"/>
          <w:sz w:val="28"/>
          <w:szCs w:val="28"/>
        </w:rPr>
        <w:t>Үкіметтік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емес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ұйымдарға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арналған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мемлекеттік</w:t>
      </w:r>
      <w:proofErr w:type="spellEnd"/>
      <w:r w:rsidRPr="00E44761">
        <w:rPr>
          <w:b/>
          <w:color w:val="000000"/>
          <w:sz w:val="28"/>
          <w:szCs w:val="28"/>
        </w:rPr>
        <w:t xml:space="preserve"> гранттардың </w:t>
      </w:r>
      <w:r>
        <w:rPr>
          <w:b/>
          <w:color w:val="000000"/>
          <w:sz w:val="28"/>
          <w:szCs w:val="28"/>
          <w:lang w:val="kk-KZ"/>
        </w:rPr>
        <w:t>2023</w:t>
      </w:r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жылға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арналған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басым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бағыттарының</w:t>
      </w:r>
      <w:proofErr w:type="spellEnd"/>
      <w:r w:rsidRPr="00E44761">
        <w:rPr>
          <w:b/>
          <w:color w:val="000000"/>
          <w:sz w:val="28"/>
          <w:szCs w:val="28"/>
        </w:rPr>
        <w:t xml:space="preserve"> </w:t>
      </w:r>
      <w:proofErr w:type="spellStart"/>
      <w:r w:rsidRPr="00E44761">
        <w:rPr>
          <w:b/>
          <w:color w:val="000000"/>
          <w:sz w:val="28"/>
          <w:szCs w:val="28"/>
        </w:rPr>
        <w:t>тізбесі</w:t>
      </w:r>
      <w:proofErr w:type="spellEnd"/>
    </w:p>
    <w:p w:rsidR="00DA29B5" w:rsidRPr="00336ECB" w:rsidRDefault="00DA29B5" w:rsidP="00E213EA">
      <w:pPr>
        <w:jc w:val="center"/>
        <w:rPr>
          <w:sz w:val="28"/>
          <w:szCs w:val="28"/>
          <w:lang w:val="kk-KZ"/>
        </w:rPr>
      </w:pPr>
    </w:p>
    <w:tbl>
      <w:tblPr>
        <w:tblW w:w="16302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552"/>
        <w:gridCol w:w="2693"/>
        <w:gridCol w:w="1417"/>
        <w:gridCol w:w="1276"/>
        <w:gridCol w:w="3686"/>
        <w:gridCol w:w="2126"/>
      </w:tblGrid>
      <w:tr w:rsidR="00DA29B5" w:rsidRPr="00E44761" w:rsidTr="004F7318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9B5" w:rsidRPr="009566F8" w:rsidRDefault="00DA29B5" w:rsidP="00FF5BE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9566F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9B5" w:rsidRPr="009566F8" w:rsidRDefault="00DA29B5" w:rsidP="00FF5BE5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9566F8">
              <w:rPr>
                <w:b/>
                <w:color w:val="000000"/>
                <w:sz w:val="28"/>
                <w:szCs w:val="28"/>
                <w:lang w:val="kk-KZ"/>
              </w:rPr>
              <w:t>Заңның</w:t>
            </w:r>
          </w:p>
          <w:p w:rsidR="00DA29B5" w:rsidRPr="009566F8" w:rsidRDefault="00DA29B5" w:rsidP="00FF5BE5">
            <w:pPr>
              <w:spacing w:after="20"/>
              <w:ind w:left="2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9566F8">
              <w:rPr>
                <w:b/>
                <w:color w:val="000000"/>
                <w:sz w:val="28"/>
                <w:szCs w:val="28"/>
                <w:lang w:val="kk-KZ"/>
              </w:rPr>
              <w:t>5-бабының</w:t>
            </w:r>
          </w:p>
          <w:p w:rsidR="00DA29B5" w:rsidRPr="009566F8" w:rsidRDefault="00DA29B5" w:rsidP="00FF5BE5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kk-KZ"/>
              </w:rPr>
            </w:pPr>
            <w:r w:rsidRPr="009566F8">
              <w:rPr>
                <w:b/>
                <w:color w:val="000000"/>
                <w:sz w:val="28"/>
                <w:szCs w:val="28"/>
                <w:lang w:val="kk-KZ"/>
              </w:rPr>
              <w:t>1-тармағына сәйкес емлекеттік грант саласы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9B5" w:rsidRPr="009566F8" w:rsidRDefault="00DA29B5" w:rsidP="00FF5BE5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гранттың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басым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бағыты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9B5" w:rsidRPr="009566F8" w:rsidRDefault="00DA29B5" w:rsidP="00FF5BE5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r w:rsidRPr="009566F8">
              <w:rPr>
                <w:b/>
                <w:color w:val="000000"/>
                <w:sz w:val="28"/>
                <w:szCs w:val="28"/>
              </w:rPr>
              <w:t>Мәселенің қысқашасипаттамасы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9B5" w:rsidRPr="009566F8" w:rsidRDefault="00DA29B5" w:rsidP="00FF5BE5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r w:rsidRPr="009566F8">
              <w:rPr>
                <w:b/>
                <w:color w:val="000000"/>
                <w:sz w:val="28"/>
                <w:szCs w:val="28"/>
              </w:rPr>
              <w:t>Қаржыландыру көлемі (мың теңге)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9B5" w:rsidRPr="009566F8" w:rsidRDefault="00DA29B5" w:rsidP="00FF5BE5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r w:rsidRPr="009566F8">
              <w:rPr>
                <w:b/>
                <w:color w:val="000000"/>
                <w:sz w:val="28"/>
                <w:szCs w:val="28"/>
              </w:rPr>
              <w:t>Грант түрі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9B5" w:rsidRPr="009566F8" w:rsidRDefault="00DA29B5" w:rsidP="00FF5BE5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Нысаналы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индикатор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9B5" w:rsidRPr="009566F8" w:rsidRDefault="00DA29B5" w:rsidP="00FF5BE5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Материалдық-техникалық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базаға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қойылатын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талаптар</w:t>
            </w:r>
            <w:proofErr w:type="spellEnd"/>
          </w:p>
          <w:p w:rsidR="00DA29B5" w:rsidRPr="009566F8" w:rsidRDefault="00DA29B5" w:rsidP="00FF5BE5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r w:rsidRPr="009566F8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ұзақ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мерзімді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гранттарды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іске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асыру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кезінде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ғана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66F8">
              <w:rPr>
                <w:b/>
                <w:color w:val="000000"/>
                <w:sz w:val="28"/>
                <w:szCs w:val="28"/>
              </w:rPr>
              <w:t>белгіленеді</w:t>
            </w:r>
            <w:proofErr w:type="spellEnd"/>
            <w:r w:rsidRPr="009566F8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DA29B5" w:rsidRPr="00C24184" w:rsidTr="004F7318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B5" w:rsidRPr="005B0F01" w:rsidRDefault="00DA29B5" w:rsidP="00E213EA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B5" w:rsidRPr="005B0F01" w:rsidRDefault="00DA29B5" w:rsidP="00E213EA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 w:rsidRPr="005B0F01">
              <w:rPr>
                <w:color w:val="000000"/>
                <w:lang w:val="kk-KZ"/>
              </w:rPr>
              <w:t>Азаматтар мен ұйымдардың құқықтарын, заңды мүдделерін қорғау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B5" w:rsidRPr="005B0F01" w:rsidRDefault="00DA29B5" w:rsidP="00E213EA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 w:rsidRPr="005B0F01">
              <w:rPr>
                <w:color w:val="000000"/>
                <w:lang w:val="kk-KZ"/>
              </w:rPr>
              <w:t>Еңбек қатынастарынан туындайтын еңбек дауларын еңбек заңнамасына сәйкес реттеу</w:t>
            </w:r>
            <w:r w:rsidR="00777F26">
              <w:rPr>
                <w:color w:val="000000"/>
                <w:lang w:val="kk-KZ"/>
              </w:rPr>
              <w:t xml:space="preserve">, </w:t>
            </w:r>
            <w:r w:rsidR="00777F26" w:rsidRPr="000C3079">
              <w:rPr>
                <w:color w:val="000000"/>
                <w:lang w:val="kk-KZ"/>
              </w:rPr>
              <w:t xml:space="preserve">тараптардың </w:t>
            </w:r>
            <w:r w:rsidR="00777F26">
              <w:rPr>
                <w:color w:val="000000"/>
                <w:lang w:val="kk-KZ"/>
              </w:rPr>
              <w:t xml:space="preserve">                           </w:t>
            </w:r>
            <w:r w:rsidR="00777F26" w:rsidRPr="000C3079">
              <w:rPr>
                <w:color w:val="000000"/>
                <w:lang w:val="kk-KZ"/>
              </w:rPr>
              <w:t>іс-қимылдары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46E" w:rsidRDefault="00DA29B5" w:rsidP="00E213EA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Соңғы жылдары Жаңаөзен қаласындағы «ӨзенМұнайГаз» АҚ және оған сервистік қызмет көрсететін кәсіпорындармен серіктестіктер, сондай-ақ мемлекеттік коммуналдық кәсіпорындардың «жұмыс беруші» мен «жұмысшы» арасындағы еңбек қатынастарынан туында</w:t>
            </w:r>
            <w:r w:rsidR="00983E81">
              <w:rPr>
                <w:color w:val="000000"/>
                <w:lang w:val="kk-KZ"/>
              </w:rPr>
              <w:t xml:space="preserve">йтын еңбек даулары жиелеп кетті. </w:t>
            </w:r>
            <w:r>
              <w:rPr>
                <w:color w:val="000000"/>
                <w:lang w:val="kk-KZ"/>
              </w:rPr>
              <w:t xml:space="preserve">Аталған мәселелер еңбек заңнамасына сәйкес реттелмей жұмысшылар тарапынан заңсыз ереуілдер, аштық </w:t>
            </w:r>
            <w:r>
              <w:rPr>
                <w:color w:val="000000"/>
                <w:lang w:val="kk-KZ"/>
              </w:rPr>
              <w:lastRenderedPageBreak/>
              <w:t xml:space="preserve">жариялау </w:t>
            </w:r>
            <w:r w:rsidR="0048639B">
              <w:rPr>
                <w:color w:val="000000"/>
                <w:lang w:val="kk-KZ"/>
              </w:rPr>
              <w:t xml:space="preserve">мен </w:t>
            </w:r>
            <w:r>
              <w:rPr>
                <w:color w:val="000000"/>
                <w:lang w:val="kk-KZ"/>
              </w:rPr>
              <w:t>жаппай жұмысты тоқтату сияқты наразылықтар орын алды.</w:t>
            </w:r>
          </w:p>
          <w:p w:rsidR="00DA29B5" w:rsidRDefault="001917CD" w:rsidP="00E213EA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Осыған орай, Жаңаөзен қаласындағы</w:t>
            </w:r>
            <w:r w:rsidR="000C3079" w:rsidRPr="000C3079">
              <w:rPr>
                <w:color w:val="000000"/>
                <w:lang w:val="kk-KZ"/>
              </w:rPr>
              <w:t xml:space="preserve"> кәсіпорындар, мекемелерде «жұмыс беруші» мен «жұмысшы» арасындағы еңбек дауларды  азайту мақсатында, оларды алдын алу және </w:t>
            </w:r>
            <w:r w:rsidR="00777F26">
              <w:rPr>
                <w:color w:val="000000"/>
                <w:lang w:val="kk-KZ"/>
              </w:rPr>
              <w:t xml:space="preserve"> еңбек заңнамасына сәйкес шешу, </w:t>
            </w:r>
            <w:r w:rsidR="000C3079" w:rsidRPr="000C3079">
              <w:rPr>
                <w:color w:val="000000"/>
                <w:lang w:val="kk-KZ"/>
              </w:rPr>
              <w:t>«жұмыс беруші» мен «жұмысшылардың», кәсіподақ ұйымдарының  құқықтық сауатттылығын арттыруға бағытталған ақпар</w:t>
            </w:r>
            <w:r w:rsidR="00186ECA">
              <w:rPr>
                <w:color w:val="000000"/>
                <w:lang w:val="kk-KZ"/>
              </w:rPr>
              <w:t>аттық</w:t>
            </w:r>
            <w:r w:rsidR="007E43D0">
              <w:rPr>
                <w:color w:val="000000"/>
                <w:lang w:val="kk-KZ"/>
              </w:rPr>
              <w:t>-</w:t>
            </w:r>
            <w:r w:rsidR="00B80420">
              <w:rPr>
                <w:color w:val="000000"/>
                <w:lang w:val="kk-KZ"/>
              </w:rPr>
              <w:t>түсіндіру жұмыстары</w:t>
            </w:r>
            <w:r w:rsidR="00D93C6D">
              <w:rPr>
                <w:color w:val="000000"/>
                <w:lang w:val="kk-KZ"/>
              </w:rPr>
              <w:t>н ұйымдастыру қажет</w:t>
            </w:r>
            <w:r w:rsidR="00994B29">
              <w:rPr>
                <w:color w:val="000000"/>
                <w:lang w:val="kk-KZ"/>
              </w:rPr>
              <w:t xml:space="preserve"> етуде</w:t>
            </w:r>
          </w:p>
          <w:p w:rsidR="00B80420" w:rsidRPr="00B80420" w:rsidRDefault="00B80420" w:rsidP="00E213EA">
            <w:pPr>
              <w:jc w:val="both"/>
              <w:rPr>
                <w:i/>
                <w:color w:val="000000"/>
                <w:lang w:val="kk-KZ"/>
              </w:rPr>
            </w:pPr>
            <w:r w:rsidRPr="00B80420">
              <w:rPr>
                <w:i/>
                <w:color w:val="000000"/>
                <w:lang w:val="kk-KZ"/>
              </w:rPr>
              <w:t>(</w:t>
            </w:r>
            <w:r>
              <w:rPr>
                <w:i/>
                <w:color w:val="000000"/>
                <w:lang w:val="kk-KZ"/>
              </w:rPr>
              <w:t>т</w:t>
            </w:r>
            <w:r w:rsidRPr="00B80420">
              <w:rPr>
                <w:i/>
                <w:color w:val="000000"/>
                <w:lang w:val="kk-KZ"/>
              </w:rPr>
              <w:t>апсырыс берушімен алдын ала келісу қажет)</w:t>
            </w:r>
            <w:r>
              <w:rPr>
                <w:i/>
                <w:color w:val="000000"/>
                <w:lang w:val="kk-KZ"/>
              </w:rPr>
              <w:t>.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B5" w:rsidRPr="005B0F01" w:rsidRDefault="00B52126" w:rsidP="00E213EA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</w:t>
            </w:r>
            <w:r w:rsidR="00DA29B5" w:rsidRPr="005B0F01">
              <w:rPr>
                <w:color w:val="000000"/>
                <w:lang w:val="kk-KZ"/>
              </w:rPr>
              <w:t xml:space="preserve"> млн.</w:t>
            </w:r>
            <w:r>
              <w:rPr>
                <w:color w:val="000000"/>
                <w:lang w:val="kk-KZ"/>
              </w:rPr>
              <w:t xml:space="preserve"> 700 мың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B5" w:rsidRPr="005B0F01" w:rsidRDefault="00DA29B5" w:rsidP="00E213EA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 w:rsidRPr="005B0F01">
              <w:rPr>
                <w:color w:val="000000"/>
                <w:lang w:val="kk-KZ"/>
              </w:rPr>
              <w:t>Қысқа мерзімді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AB" w:rsidRDefault="005959AB" w:rsidP="00E213EA">
            <w:pPr>
              <w:spacing w:after="20"/>
              <w:ind w:left="20"/>
              <w:jc w:val="both"/>
              <w:rPr>
                <w:b/>
                <w:color w:val="000000" w:themeColor="text1"/>
                <w:lang w:val="kk-KZ"/>
              </w:rPr>
            </w:pPr>
            <w:r w:rsidRPr="00E95E53">
              <w:rPr>
                <w:b/>
                <w:color w:val="000000" w:themeColor="text1"/>
                <w:lang w:val="kk-KZ"/>
              </w:rPr>
              <w:t>Нысаналы индикатор</w:t>
            </w:r>
            <w:r>
              <w:rPr>
                <w:b/>
                <w:color w:val="000000" w:themeColor="text1"/>
                <w:lang w:val="kk-KZ"/>
              </w:rPr>
              <w:t xml:space="preserve">: </w:t>
            </w:r>
          </w:p>
          <w:p w:rsidR="00102B9D" w:rsidRDefault="00102B9D" w:rsidP="00E213EA">
            <w:pPr>
              <w:spacing w:after="20"/>
              <w:ind w:left="20"/>
              <w:jc w:val="both"/>
              <w:rPr>
                <w:b/>
                <w:color w:val="000000" w:themeColor="text1"/>
                <w:lang w:val="kk-KZ"/>
              </w:rPr>
            </w:pPr>
          </w:p>
          <w:p w:rsidR="008F4334" w:rsidRDefault="005959AB" w:rsidP="00E213EA">
            <w:pPr>
              <w:spacing w:after="20"/>
              <w:ind w:left="20"/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</w:t>
            </w:r>
            <w:r w:rsidRPr="00E43B6E">
              <w:rPr>
                <w:color w:val="000000" w:themeColor="text1"/>
                <w:lang w:val="kk-KZ"/>
              </w:rPr>
              <w:t xml:space="preserve">обаны іске асыру шеңберінде </w:t>
            </w:r>
            <w:r w:rsidR="002A708C">
              <w:rPr>
                <w:color w:val="000000" w:themeColor="text1"/>
                <w:lang w:val="kk-KZ"/>
              </w:rPr>
              <w:t xml:space="preserve">           </w:t>
            </w:r>
            <w:r>
              <w:rPr>
                <w:color w:val="000000" w:themeColor="text1"/>
                <w:lang w:val="kk-KZ"/>
              </w:rPr>
              <w:t>5 заңды тұлғалардың (</w:t>
            </w:r>
            <w:r w:rsidR="008F4334">
              <w:rPr>
                <w:color w:val="000000" w:themeColor="text1"/>
                <w:lang w:val="kk-KZ"/>
              </w:rPr>
              <w:t>кәсіпорын, серіктестік жә</w:t>
            </w:r>
            <w:r>
              <w:rPr>
                <w:color w:val="000000" w:themeColor="text1"/>
                <w:lang w:val="kk-KZ"/>
              </w:rPr>
              <w:t>не т.б.) еңбек ұжымдарымен түсіндіру жұмыстарын ұйымдастыру</w:t>
            </w:r>
            <w:r w:rsidR="008F4334">
              <w:rPr>
                <w:color w:val="000000" w:themeColor="text1"/>
                <w:lang w:val="kk-KZ"/>
              </w:rPr>
              <w:t>;</w:t>
            </w:r>
          </w:p>
          <w:p w:rsidR="008F4334" w:rsidRDefault="008F4334" w:rsidP="00E213EA">
            <w:pPr>
              <w:spacing w:after="20"/>
              <w:ind w:left="20"/>
              <w:jc w:val="both"/>
              <w:rPr>
                <w:color w:val="000000" w:themeColor="text1"/>
                <w:lang w:val="kk-KZ"/>
              </w:rPr>
            </w:pPr>
          </w:p>
          <w:p w:rsidR="008F4334" w:rsidRDefault="008F4334" w:rsidP="00E213EA">
            <w:pPr>
              <w:spacing w:after="20"/>
              <w:ind w:left="20"/>
              <w:jc w:val="both"/>
              <w:rPr>
                <w:b/>
                <w:color w:val="000000" w:themeColor="text1"/>
                <w:lang w:val="kk-KZ"/>
              </w:rPr>
            </w:pPr>
            <w:r w:rsidRPr="00E95E53">
              <w:rPr>
                <w:b/>
                <w:color w:val="000000" w:themeColor="text1"/>
                <w:lang w:val="kk-KZ"/>
              </w:rPr>
              <w:t>Күтілетін нәтиже</w:t>
            </w:r>
            <w:r>
              <w:rPr>
                <w:b/>
                <w:color w:val="000000" w:themeColor="text1"/>
                <w:lang w:val="kk-KZ"/>
              </w:rPr>
              <w:t>:</w:t>
            </w:r>
          </w:p>
          <w:p w:rsidR="00102B9D" w:rsidRDefault="00102B9D" w:rsidP="00E213EA">
            <w:pPr>
              <w:spacing w:after="20"/>
              <w:ind w:left="20"/>
              <w:jc w:val="both"/>
              <w:rPr>
                <w:b/>
                <w:color w:val="000000" w:themeColor="text1"/>
                <w:lang w:val="kk-KZ"/>
              </w:rPr>
            </w:pPr>
          </w:p>
          <w:p w:rsidR="003A2A39" w:rsidRPr="00E07817" w:rsidRDefault="003A2A39" w:rsidP="00E213EA">
            <w:pPr>
              <w:pStyle w:val="a3"/>
              <w:numPr>
                <w:ilvl w:val="0"/>
                <w:numId w:val="2"/>
              </w:numPr>
              <w:spacing w:after="20"/>
              <w:ind w:left="0" w:firstLine="20"/>
              <w:jc w:val="both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>5 заңды тұлғалардың еңбек ұжымы еңбек заңнамасы мен тараптардың іс-қимылы туралы ақпараттандырылады;</w:t>
            </w:r>
          </w:p>
          <w:p w:rsidR="00E07817" w:rsidRPr="003A2A39" w:rsidRDefault="00E07817" w:rsidP="00E213EA">
            <w:pPr>
              <w:pStyle w:val="a3"/>
              <w:spacing w:after="20"/>
              <w:ind w:left="380"/>
              <w:jc w:val="both"/>
              <w:rPr>
                <w:color w:val="000000"/>
                <w:lang w:val="kk-KZ"/>
              </w:rPr>
            </w:pPr>
          </w:p>
          <w:p w:rsidR="00DA29B5" w:rsidRPr="00E07817" w:rsidRDefault="00E07817" w:rsidP="00E213EA">
            <w:pPr>
              <w:pStyle w:val="a3"/>
              <w:numPr>
                <w:ilvl w:val="0"/>
                <w:numId w:val="2"/>
              </w:numPr>
              <w:spacing w:after="20"/>
              <w:ind w:left="0" w:firstLine="20"/>
              <w:jc w:val="both"/>
              <w:rPr>
                <w:color w:val="000000"/>
                <w:lang w:val="kk-KZ"/>
              </w:rPr>
            </w:pPr>
            <w:r>
              <w:rPr>
                <w:color w:val="000000" w:themeColor="text1"/>
                <w:lang w:val="kk-KZ"/>
              </w:rPr>
              <w:t>Еңбек ұ</w:t>
            </w:r>
            <w:r w:rsidRPr="00E07817">
              <w:rPr>
                <w:color w:val="000000" w:themeColor="text1"/>
                <w:lang w:val="kk-KZ"/>
              </w:rPr>
              <w:t>жымдар</w:t>
            </w:r>
            <w:r>
              <w:rPr>
                <w:color w:val="000000" w:themeColor="text1"/>
                <w:lang w:val="kk-KZ"/>
              </w:rPr>
              <w:t>ы</w:t>
            </w:r>
            <w:r w:rsidRPr="00E07817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тарапынан</w:t>
            </w:r>
            <w:r w:rsidR="005959AB" w:rsidRPr="00E07817">
              <w:rPr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ұйымдастырылатын заңсыз </w:t>
            </w:r>
            <w:r w:rsidR="00251640">
              <w:rPr>
                <w:color w:val="000000" w:themeColor="text1"/>
                <w:lang w:val="kk-KZ"/>
              </w:rPr>
              <w:t xml:space="preserve">                   </w:t>
            </w:r>
            <w:r>
              <w:rPr>
                <w:color w:val="000000" w:themeColor="text1"/>
                <w:lang w:val="kk-KZ"/>
              </w:rPr>
              <w:t>іс- әрекеттер</w:t>
            </w:r>
            <w:r w:rsidR="00B57B83">
              <w:rPr>
                <w:color w:val="000000" w:themeColor="text1"/>
                <w:lang w:val="kk-KZ"/>
              </w:rPr>
              <w:t>дің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="00B57B83">
              <w:rPr>
                <w:color w:val="000000" w:themeColor="text1"/>
                <w:lang w:val="kk-KZ"/>
              </w:rPr>
              <w:t>саны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="00B57B83">
              <w:rPr>
                <w:color w:val="000000" w:themeColor="text1"/>
                <w:lang w:val="kk-KZ"/>
              </w:rPr>
              <w:t>төмендейді</w:t>
            </w:r>
            <w:r w:rsidR="00102B9D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29B5" w:rsidRPr="005B0F01" w:rsidRDefault="00DA29B5" w:rsidP="00E213EA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</w:p>
        </w:tc>
      </w:tr>
    </w:tbl>
    <w:p w:rsidR="00DA29B5" w:rsidRPr="005B0F01" w:rsidRDefault="00DA29B5" w:rsidP="00E213EA">
      <w:pPr>
        <w:rPr>
          <w:lang w:val="kk-KZ"/>
        </w:rPr>
      </w:pPr>
      <w:bookmarkStart w:id="0" w:name="_GoBack"/>
      <w:bookmarkEnd w:id="0"/>
    </w:p>
    <w:p w:rsidR="00F363F0" w:rsidRPr="00DA29B5" w:rsidRDefault="00F363F0" w:rsidP="00E213EA">
      <w:pPr>
        <w:rPr>
          <w:lang w:val="kk-KZ"/>
        </w:rPr>
      </w:pPr>
    </w:p>
    <w:sectPr w:rsidR="00F363F0" w:rsidRPr="00DA29B5" w:rsidSect="002456E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341BE3"/>
    <w:multiLevelType w:val="hybridMultilevel"/>
    <w:tmpl w:val="6B66BC26"/>
    <w:lvl w:ilvl="0" w:tplc="043EF7EA">
      <w:start w:val="1"/>
      <w:numFmt w:val="decimal"/>
      <w:lvlText w:val="%1)"/>
      <w:lvlJc w:val="left"/>
      <w:pPr>
        <w:ind w:left="3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73181F87"/>
    <w:multiLevelType w:val="hybridMultilevel"/>
    <w:tmpl w:val="F3303F68"/>
    <w:lvl w:ilvl="0" w:tplc="F62822C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B1C4293"/>
    <w:multiLevelType w:val="hybridMultilevel"/>
    <w:tmpl w:val="195E9B3E"/>
    <w:lvl w:ilvl="0" w:tplc="8E92FBD8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B5"/>
    <w:rsid w:val="000003EC"/>
    <w:rsid w:val="000414B1"/>
    <w:rsid w:val="00062E48"/>
    <w:rsid w:val="00066045"/>
    <w:rsid w:val="00073B76"/>
    <w:rsid w:val="000C3079"/>
    <w:rsid w:val="000C3C9F"/>
    <w:rsid w:val="000E27A7"/>
    <w:rsid w:val="00102B9D"/>
    <w:rsid w:val="00137BEE"/>
    <w:rsid w:val="00162C02"/>
    <w:rsid w:val="0017084A"/>
    <w:rsid w:val="001770A9"/>
    <w:rsid w:val="00186ECA"/>
    <w:rsid w:val="001917CD"/>
    <w:rsid w:val="001A2AA4"/>
    <w:rsid w:val="00251640"/>
    <w:rsid w:val="00271067"/>
    <w:rsid w:val="002A708C"/>
    <w:rsid w:val="002B6666"/>
    <w:rsid w:val="002C480B"/>
    <w:rsid w:val="002E38D2"/>
    <w:rsid w:val="002F7B3B"/>
    <w:rsid w:val="00317E5B"/>
    <w:rsid w:val="003268A2"/>
    <w:rsid w:val="00344B9C"/>
    <w:rsid w:val="003539A7"/>
    <w:rsid w:val="00353A2D"/>
    <w:rsid w:val="0037028C"/>
    <w:rsid w:val="003A1D29"/>
    <w:rsid w:val="003A2A39"/>
    <w:rsid w:val="003B0F3B"/>
    <w:rsid w:val="003C7FC0"/>
    <w:rsid w:val="003E4C6E"/>
    <w:rsid w:val="0048639B"/>
    <w:rsid w:val="004C02F2"/>
    <w:rsid w:val="004C583B"/>
    <w:rsid w:val="004D1D61"/>
    <w:rsid w:val="004E2B04"/>
    <w:rsid w:val="004F7318"/>
    <w:rsid w:val="005457E0"/>
    <w:rsid w:val="00554262"/>
    <w:rsid w:val="0058270A"/>
    <w:rsid w:val="00586A21"/>
    <w:rsid w:val="005959AB"/>
    <w:rsid w:val="005A6168"/>
    <w:rsid w:val="005C2D62"/>
    <w:rsid w:val="005E0B5A"/>
    <w:rsid w:val="005F5192"/>
    <w:rsid w:val="00611B19"/>
    <w:rsid w:val="006172F1"/>
    <w:rsid w:val="006A063A"/>
    <w:rsid w:val="006C17C6"/>
    <w:rsid w:val="006F1110"/>
    <w:rsid w:val="006F1889"/>
    <w:rsid w:val="00752B39"/>
    <w:rsid w:val="007568EE"/>
    <w:rsid w:val="00757F37"/>
    <w:rsid w:val="00777F26"/>
    <w:rsid w:val="00794256"/>
    <w:rsid w:val="007C17CF"/>
    <w:rsid w:val="007D4667"/>
    <w:rsid w:val="007E43D0"/>
    <w:rsid w:val="00802E87"/>
    <w:rsid w:val="00815507"/>
    <w:rsid w:val="00855766"/>
    <w:rsid w:val="00866E72"/>
    <w:rsid w:val="00881A57"/>
    <w:rsid w:val="00894C67"/>
    <w:rsid w:val="008F4334"/>
    <w:rsid w:val="009221DA"/>
    <w:rsid w:val="009566F8"/>
    <w:rsid w:val="00960392"/>
    <w:rsid w:val="0098129E"/>
    <w:rsid w:val="00983E81"/>
    <w:rsid w:val="00994B29"/>
    <w:rsid w:val="009D756E"/>
    <w:rsid w:val="00A07813"/>
    <w:rsid w:val="00A811F6"/>
    <w:rsid w:val="00AE630B"/>
    <w:rsid w:val="00B01234"/>
    <w:rsid w:val="00B232EC"/>
    <w:rsid w:val="00B41989"/>
    <w:rsid w:val="00B461C7"/>
    <w:rsid w:val="00B52126"/>
    <w:rsid w:val="00B57B83"/>
    <w:rsid w:val="00B60863"/>
    <w:rsid w:val="00B80420"/>
    <w:rsid w:val="00C019F2"/>
    <w:rsid w:val="00C24184"/>
    <w:rsid w:val="00C3337D"/>
    <w:rsid w:val="00C92F64"/>
    <w:rsid w:val="00CB294B"/>
    <w:rsid w:val="00CC5ED5"/>
    <w:rsid w:val="00CF26A7"/>
    <w:rsid w:val="00D13F36"/>
    <w:rsid w:val="00D51832"/>
    <w:rsid w:val="00D742B9"/>
    <w:rsid w:val="00D93C6D"/>
    <w:rsid w:val="00DA29B5"/>
    <w:rsid w:val="00DA33E8"/>
    <w:rsid w:val="00DB57EF"/>
    <w:rsid w:val="00DE4C98"/>
    <w:rsid w:val="00DF66F4"/>
    <w:rsid w:val="00E016CC"/>
    <w:rsid w:val="00E07817"/>
    <w:rsid w:val="00E213EA"/>
    <w:rsid w:val="00E315B0"/>
    <w:rsid w:val="00E37883"/>
    <w:rsid w:val="00E5146E"/>
    <w:rsid w:val="00E57FD2"/>
    <w:rsid w:val="00EC44E1"/>
    <w:rsid w:val="00ED058C"/>
    <w:rsid w:val="00EE1292"/>
    <w:rsid w:val="00EF4358"/>
    <w:rsid w:val="00F10527"/>
    <w:rsid w:val="00F363F0"/>
    <w:rsid w:val="00F577A5"/>
    <w:rsid w:val="00F8438A"/>
    <w:rsid w:val="00FE0B7F"/>
    <w:rsid w:val="00FE5769"/>
    <w:rsid w:val="00FF5B76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136F-BC74-4064-AFFC-C4EB5234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cp:lastPrinted>2023-01-13T12:59:00Z</cp:lastPrinted>
  <dcterms:created xsi:type="dcterms:W3CDTF">2023-03-31T06:00:00Z</dcterms:created>
  <dcterms:modified xsi:type="dcterms:W3CDTF">2023-03-31T06:00:00Z</dcterms:modified>
</cp:coreProperties>
</file>