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8C3E7" w14:textId="495B6E6E" w:rsidR="00BB5C9A" w:rsidRPr="00BB5C9A" w:rsidRDefault="00BB5C9A" w:rsidP="00BB5C9A">
      <w:pPr>
        <w:pStyle w:val="a3"/>
        <w:rPr>
          <w:rFonts w:ascii="Times New Roman" w:hAnsi="Times New Roman" w:cs="Times New Roman"/>
          <w:sz w:val="20"/>
          <w:szCs w:val="20"/>
          <w:lang w:val="kk-KZ"/>
        </w:rPr>
      </w:pPr>
      <w:r w:rsidRPr="00BB5C9A">
        <w:rPr>
          <w:lang w:val="kk-KZ"/>
        </w:rPr>
        <w:t xml:space="preserve">                                                                                    </w:t>
      </w:r>
      <w:r>
        <w:rPr>
          <w:lang w:val="kk-KZ"/>
        </w:rPr>
        <w:t xml:space="preserve">                                                                                                                                                 </w:t>
      </w:r>
      <w:r w:rsidR="00A2135B">
        <w:rPr>
          <w:lang w:val="kk-KZ"/>
        </w:rPr>
        <w:t xml:space="preserve"> </w:t>
      </w:r>
      <w:r>
        <w:rPr>
          <w:lang w:val="kk-KZ"/>
        </w:rPr>
        <w:t xml:space="preserve"> </w:t>
      </w:r>
      <w:r w:rsidRPr="00BB5C9A">
        <w:rPr>
          <w:rFonts w:ascii="Times New Roman" w:hAnsi="Times New Roman" w:cs="Times New Roman"/>
          <w:sz w:val="20"/>
          <w:szCs w:val="20"/>
          <w:lang w:val="kk-KZ"/>
        </w:rPr>
        <w:t xml:space="preserve">Маңғыстау облысының дін істері               </w:t>
      </w:r>
    </w:p>
    <w:p w14:paraId="60432321" w14:textId="66C29701" w:rsidR="00BB5C9A" w:rsidRPr="00BB5C9A" w:rsidRDefault="00BB5C9A" w:rsidP="00BB5C9A">
      <w:pPr>
        <w:pStyle w:val="a3"/>
        <w:rPr>
          <w:rFonts w:ascii="Times New Roman" w:hAnsi="Times New Roman" w:cs="Times New Roman"/>
          <w:sz w:val="20"/>
          <w:szCs w:val="20"/>
          <w:lang w:val="kk-KZ"/>
        </w:rPr>
      </w:pPr>
      <w:r w:rsidRPr="00BB5C9A">
        <w:rPr>
          <w:rFonts w:ascii="Times New Roman" w:hAnsi="Times New Roman" w:cs="Times New Roman"/>
          <w:sz w:val="20"/>
          <w:szCs w:val="20"/>
          <w:lang w:val="kk-KZ"/>
        </w:rPr>
        <w:t xml:space="preserve">                                                                                                                                                                                                                                      басқармасы басшысының</w:t>
      </w:r>
    </w:p>
    <w:p w14:paraId="4A6D1EA3" w14:textId="1A5031D9" w:rsidR="00BB5C9A" w:rsidRPr="00BB5C9A" w:rsidRDefault="00BB5C9A" w:rsidP="00BB5C9A">
      <w:pPr>
        <w:pStyle w:val="a3"/>
        <w:rPr>
          <w:rFonts w:ascii="Times New Roman" w:hAnsi="Times New Roman" w:cs="Times New Roman"/>
          <w:sz w:val="20"/>
          <w:szCs w:val="20"/>
          <w:lang w:val="kk-KZ"/>
        </w:rPr>
      </w:pPr>
      <w:r w:rsidRPr="00BB5C9A">
        <w:rPr>
          <w:rFonts w:ascii="Times New Roman" w:hAnsi="Times New Roman" w:cs="Times New Roman"/>
          <w:sz w:val="20"/>
          <w:szCs w:val="20"/>
          <w:lang w:val="kk-KZ"/>
        </w:rPr>
        <w:t xml:space="preserve">                                                                                                                                                                                                                                        _____ жылғы «___» қаңтардағы</w:t>
      </w:r>
    </w:p>
    <w:p w14:paraId="0E3B8286" w14:textId="36CF092B" w:rsidR="00BB5C9A" w:rsidRPr="00BB5C9A" w:rsidRDefault="00BB5C9A" w:rsidP="00BB5C9A">
      <w:pPr>
        <w:pStyle w:val="a3"/>
        <w:rPr>
          <w:rFonts w:ascii="Times New Roman" w:hAnsi="Times New Roman" w:cs="Times New Roman"/>
          <w:sz w:val="20"/>
          <w:szCs w:val="20"/>
          <w:lang w:val="kk-KZ"/>
        </w:rPr>
      </w:pPr>
      <w:r w:rsidRPr="00BB5C9A">
        <w:rPr>
          <w:rFonts w:ascii="Times New Roman" w:hAnsi="Times New Roman" w:cs="Times New Roman"/>
          <w:sz w:val="20"/>
          <w:szCs w:val="20"/>
          <w:lang w:val="kk-KZ"/>
        </w:rPr>
        <w:t xml:space="preserve">                                                                                                                                                                                                                                      № _______________________</w:t>
      </w:r>
    </w:p>
    <w:p w14:paraId="3F9F8B37" w14:textId="366420C7" w:rsidR="00BB5C9A" w:rsidRPr="00BB5C9A" w:rsidRDefault="00BB5C9A" w:rsidP="00BB5C9A">
      <w:pPr>
        <w:pStyle w:val="a3"/>
        <w:rPr>
          <w:lang w:val="kk-KZ"/>
        </w:rPr>
      </w:pPr>
      <w:r w:rsidRPr="00BB5C9A">
        <w:rPr>
          <w:rFonts w:ascii="Times New Roman" w:hAnsi="Times New Roman" w:cs="Times New Roman"/>
          <w:sz w:val="20"/>
          <w:szCs w:val="20"/>
          <w:lang w:val="kk-KZ"/>
        </w:rPr>
        <w:t xml:space="preserve">                                                                                                                                                                                                                                      бұйрығымен бекітілген</w:t>
      </w:r>
    </w:p>
    <w:p w14:paraId="60F8DB94" w14:textId="2186C62B" w:rsidR="009A134F" w:rsidRPr="00BB5C9A" w:rsidRDefault="001E1C93" w:rsidP="0041270B">
      <w:pPr>
        <w:pStyle w:val="3"/>
        <w:jc w:val="center"/>
        <w:rPr>
          <w:sz w:val="24"/>
          <w:szCs w:val="24"/>
          <w:lang w:val="kk-KZ"/>
        </w:rPr>
      </w:pPr>
      <w:r w:rsidRPr="00BB5C9A">
        <w:rPr>
          <w:sz w:val="24"/>
          <w:szCs w:val="24"/>
          <w:lang w:val="kk-KZ"/>
        </w:rPr>
        <w:t>Маңғыстау облысы дін істері басқармасы</w:t>
      </w:r>
      <w:r w:rsidR="00BB5C9A" w:rsidRPr="00BB5C9A">
        <w:rPr>
          <w:sz w:val="24"/>
          <w:szCs w:val="24"/>
          <w:lang w:val="kk-KZ"/>
        </w:rPr>
        <w:t>ның үкіметтік емес ұйымдарға арналған мемлекеттік гранттардың 2023 жылға арналған басым бағыттарының тізбесі</w:t>
      </w:r>
    </w:p>
    <w:tbl>
      <w:tblPr>
        <w:tblW w:w="15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896"/>
        <w:gridCol w:w="2126"/>
        <w:gridCol w:w="3291"/>
        <w:gridCol w:w="1418"/>
        <w:gridCol w:w="1134"/>
        <w:gridCol w:w="4961"/>
      </w:tblGrid>
      <w:tr w:rsidR="00566C97" w:rsidRPr="00E678F5" w14:paraId="7581694D" w14:textId="77777777" w:rsidTr="00A37DE6">
        <w:trPr>
          <w:trHeight w:val="896"/>
          <w:jc w:val="center"/>
        </w:trPr>
        <w:tc>
          <w:tcPr>
            <w:tcW w:w="509" w:type="dxa"/>
            <w:shd w:val="clear" w:color="auto" w:fill="auto"/>
            <w:vAlign w:val="center"/>
          </w:tcPr>
          <w:p w14:paraId="460CB9BF" w14:textId="77777777" w:rsidR="00566C97" w:rsidRPr="00A16DBF" w:rsidRDefault="00566C97" w:rsidP="00B7060E">
            <w:pPr>
              <w:pBdr>
                <w:top w:val="nil"/>
                <w:left w:val="nil"/>
                <w:bottom w:val="nil"/>
                <w:right w:val="nil"/>
                <w:between w:val="nil"/>
              </w:pBdr>
              <w:jc w:val="center"/>
              <w:rPr>
                <w:rFonts w:ascii="Times New Roman" w:hAnsi="Times New Roman" w:cs="Times New Roman"/>
                <w:b/>
                <w:lang w:val="kk-KZ"/>
              </w:rPr>
            </w:pPr>
            <w:r w:rsidRPr="00A16DBF">
              <w:rPr>
                <w:rFonts w:ascii="Times New Roman" w:hAnsi="Times New Roman" w:cs="Times New Roman"/>
                <w:b/>
                <w:lang w:val="kk-KZ"/>
              </w:rPr>
              <w:t>№</w:t>
            </w:r>
          </w:p>
        </w:tc>
        <w:tc>
          <w:tcPr>
            <w:tcW w:w="1896" w:type="dxa"/>
            <w:shd w:val="clear" w:color="auto" w:fill="auto"/>
            <w:vAlign w:val="center"/>
          </w:tcPr>
          <w:p w14:paraId="713EAD53" w14:textId="77777777" w:rsidR="00566C97" w:rsidRPr="00A16DBF" w:rsidRDefault="00566C97" w:rsidP="005B4C9F">
            <w:pPr>
              <w:pStyle w:val="a6"/>
              <w:jc w:val="center"/>
              <w:rPr>
                <w:b/>
                <w:lang w:val="kk-KZ"/>
              </w:rPr>
            </w:pPr>
            <w:r w:rsidRPr="00A16DBF">
              <w:rPr>
                <w:b/>
                <w:lang w:val="kk-KZ"/>
              </w:rPr>
              <w:t xml:space="preserve">Заңның 5-бабының </w:t>
            </w:r>
            <w:r w:rsidRPr="00A16DBF">
              <w:rPr>
                <w:b/>
                <w:lang w:val="kk-KZ"/>
              </w:rPr>
              <w:br/>
              <w:t>1-тармағына сәйкес мемлекеттік грант саласы</w:t>
            </w:r>
          </w:p>
        </w:tc>
        <w:tc>
          <w:tcPr>
            <w:tcW w:w="2126" w:type="dxa"/>
            <w:shd w:val="clear" w:color="auto" w:fill="auto"/>
            <w:vAlign w:val="center"/>
          </w:tcPr>
          <w:p w14:paraId="0C8C3A4C" w14:textId="77777777" w:rsidR="00566C97" w:rsidRPr="00A16DBF" w:rsidRDefault="00566C97" w:rsidP="005B4C9F">
            <w:pPr>
              <w:pStyle w:val="a6"/>
              <w:jc w:val="center"/>
              <w:rPr>
                <w:b/>
                <w:lang w:val="kk-KZ"/>
              </w:rPr>
            </w:pPr>
            <w:r w:rsidRPr="00A16DBF">
              <w:rPr>
                <w:b/>
                <w:lang w:val="kk-KZ"/>
              </w:rPr>
              <w:t>Мемлекеттік гранттың басым бағыты</w:t>
            </w:r>
          </w:p>
        </w:tc>
        <w:tc>
          <w:tcPr>
            <w:tcW w:w="3291" w:type="dxa"/>
            <w:shd w:val="clear" w:color="auto" w:fill="auto"/>
            <w:vAlign w:val="center"/>
          </w:tcPr>
          <w:p w14:paraId="7AA533DF" w14:textId="77777777" w:rsidR="00566C97" w:rsidRPr="00A16DBF" w:rsidRDefault="00566C97" w:rsidP="005B4C9F">
            <w:pPr>
              <w:pStyle w:val="a6"/>
              <w:jc w:val="center"/>
              <w:rPr>
                <w:b/>
                <w:lang w:val="kk-KZ"/>
              </w:rPr>
            </w:pPr>
            <w:r w:rsidRPr="00A16DBF">
              <w:rPr>
                <w:b/>
                <w:lang w:val="kk-KZ"/>
              </w:rPr>
              <w:t>Мәселенің қысқаша сипаттамасы</w:t>
            </w:r>
          </w:p>
        </w:tc>
        <w:tc>
          <w:tcPr>
            <w:tcW w:w="1418" w:type="dxa"/>
            <w:shd w:val="clear" w:color="auto" w:fill="auto"/>
            <w:vAlign w:val="center"/>
          </w:tcPr>
          <w:p w14:paraId="2EC3F00B" w14:textId="77777777" w:rsidR="00566C97" w:rsidRPr="00A16DBF" w:rsidRDefault="00566C97" w:rsidP="005B4C9F">
            <w:pPr>
              <w:pStyle w:val="a6"/>
              <w:jc w:val="center"/>
              <w:rPr>
                <w:b/>
                <w:lang w:val="kk-KZ"/>
              </w:rPr>
            </w:pPr>
            <w:r w:rsidRPr="00A16DBF">
              <w:rPr>
                <w:b/>
                <w:lang w:val="kk-KZ"/>
              </w:rPr>
              <w:t>Қаржыландыру көлемі (мың теңге)</w:t>
            </w:r>
          </w:p>
        </w:tc>
        <w:tc>
          <w:tcPr>
            <w:tcW w:w="1134" w:type="dxa"/>
            <w:shd w:val="clear" w:color="auto" w:fill="auto"/>
            <w:vAlign w:val="center"/>
          </w:tcPr>
          <w:p w14:paraId="2DDC9D8E" w14:textId="77777777" w:rsidR="00566C97" w:rsidRPr="00A16DBF" w:rsidRDefault="00566C97" w:rsidP="005B4C9F">
            <w:pPr>
              <w:pStyle w:val="a6"/>
              <w:jc w:val="center"/>
              <w:rPr>
                <w:b/>
                <w:lang w:val="kk-KZ"/>
              </w:rPr>
            </w:pPr>
            <w:r w:rsidRPr="00A16DBF">
              <w:rPr>
                <w:b/>
                <w:lang w:val="kk-KZ"/>
              </w:rPr>
              <w:t>Грант түрі</w:t>
            </w:r>
          </w:p>
        </w:tc>
        <w:tc>
          <w:tcPr>
            <w:tcW w:w="4961" w:type="dxa"/>
            <w:tcBorders>
              <w:right w:val="single" w:sz="4" w:space="0" w:color="auto"/>
            </w:tcBorders>
            <w:shd w:val="clear" w:color="auto" w:fill="auto"/>
            <w:vAlign w:val="center"/>
          </w:tcPr>
          <w:p w14:paraId="039515F9" w14:textId="77777777" w:rsidR="00566C97" w:rsidRPr="00A16DBF" w:rsidRDefault="00566C97" w:rsidP="005B4C9F">
            <w:pPr>
              <w:pStyle w:val="a6"/>
              <w:jc w:val="center"/>
              <w:rPr>
                <w:b/>
                <w:lang w:val="kk-KZ"/>
              </w:rPr>
            </w:pPr>
            <w:r w:rsidRPr="00A16DBF">
              <w:rPr>
                <w:b/>
                <w:lang w:val="kk-KZ"/>
              </w:rPr>
              <w:t>Нысаналы индикатор</w:t>
            </w:r>
          </w:p>
        </w:tc>
      </w:tr>
      <w:tr w:rsidR="00566C97" w:rsidRPr="00A2135B" w14:paraId="543346F6" w14:textId="77777777" w:rsidTr="00A37DE6">
        <w:trPr>
          <w:trHeight w:val="1835"/>
          <w:jc w:val="center"/>
        </w:trPr>
        <w:tc>
          <w:tcPr>
            <w:tcW w:w="509" w:type="dxa"/>
            <w:vAlign w:val="center"/>
          </w:tcPr>
          <w:p w14:paraId="4BA34814" w14:textId="77777777" w:rsidR="00566C97" w:rsidRPr="00A16DBF" w:rsidRDefault="00566C97" w:rsidP="00B7060E">
            <w:pPr>
              <w:pStyle w:val="a5"/>
              <w:numPr>
                <w:ilvl w:val="0"/>
                <w:numId w:val="2"/>
              </w:numPr>
              <w:pBdr>
                <w:top w:val="nil"/>
                <w:left w:val="nil"/>
                <w:bottom w:val="nil"/>
                <w:right w:val="nil"/>
                <w:between w:val="nil"/>
              </w:pBdr>
              <w:jc w:val="center"/>
              <w:rPr>
                <w:lang w:val="kk-KZ"/>
              </w:rPr>
            </w:pPr>
          </w:p>
        </w:tc>
        <w:tc>
          <w:tcPr>
            <w:tcW w:w="1896" w:type="dxa"/>
            <w:vAlign w:val="center"/>
          </w:tcPr>
          <w:p w14:paraId="5210FFC1" w14:textId="5CED2EA1" w:rsidR="00566C97" w:rsidRPr="00A16DBF" w:rsidRDefault="00566C97" w:rsidP="00B7060E">
            <w:pPr>
              <w:rPr>
                <w:rFonts w:ascii="Times New Roman" w:hAnsi="Times New Roman" w:cs="Times New Roman"/>
                <w:color w:val="000000"/>
                <w:sz w:val="24"/>
                <w:szCs w:val="24"/>
                <w:lang w:val="kk-KZ"/>
              </w:rPr>
            </w:pPr>
            <w:r w:rsidRPr="00A16DBF">
              <w:rPr>
                <w:rFonts w:ascii="Times New Roman" w:hAnsi="Times New Roman" w:cs="Times New Roman"/>
                <w:sz w:val="24"/>
                <w:szCs w:val="24"/>
                <w:lang w:val="kk-KZ"/>
              </w:rPr>
              <w:t>Қоғамдық келісім мен жалпыұлттық бірлікті нығайту</w:t>
            </w:r>
          </w:p>
        </w:tc>
        <w:tc>
          <w:tcPr>
            <w:tcW w:w="2126" w:type="dxa"/>
          </w:tcPr>
          <w:p w14:paraId="6C30E80A" w14:textId="41EF2095" w:rsidR="00566C97" w:rsidRPr="00A16DBF" w:rsidRDefault="00566C97" w:rsidP="00A16DBF">
            <w:pPr>
              <w:jc w:val="center"/>
              <w:rPr>
                <w:rFonts w:ascii="Times New Roman" w:hAnsi="Times New Roman" w:cs="Times New Roman"/>
                <w:color w:val="000000"/>
                <w:sz w:val="24"/>
                <w:szCs w:val="24"/>
                <w:lang w:val="kk-KZ"/>
              </w:rPr>
            </w:pPr>
            <w:r w:rsidRPr="00A16DBF">
              <w:rPr>
                <w:rFonts w:ascii="Times New Roman" w:eastAsia="Calibri" w:hAnsi="Times New Roman" w:cs="Times New Roman"/>
                <w:color w:val="000000"/>
                <w:spacing w:val="2"/>
                <w:sz w:val="24"/>
                <w:szCs w:val="24"/>
                <w:lang w:val="kk-KZ"/>
              </w:rPr>
              <w:t>Танымал тұлғаларды тарту арқылы діни тұрақтылықты қамтамасыз ету бойынша ақпараттық-түсіндіру жұмыстарын жүргізу</w:t>
            </w:r>
          </w:p>
        </w:tc>
        <w:tc>
          <w:tcPr>
            <w:tcW w:w="3291" w:type="dxa"/>
          </w:tcPr>
          <w:p w14:paraId="393BCE0C" w14:textId="3438A980" w:rsidR="00566C97" w:rsidRPr="00A16DBF" w:rsidRDefault="00566C97" w:rsidP="00B84C24">
            <w:pPr>
              <w:pStyle w:val="3"/>
              <w:contextualSpacing/>
              <w:jc w:val="both"/>
              <w:rPr>
                <w:b w:val="0"/>
                <w:bCs w:val="0"/>
                <w:sz w:val="24"/>
                <w:szCs w:val="24"/>
                <w:lang w:val="kk-KZ"/>
              </w:rPr>
            </w:pPr>
            <w:r w:rsidRPr="00A16DBF">
              <w:rPr>
                <w:b w:val="0"/>
                <w:bCs w:val="0"/>
                <w:sz w:val="24"/>
                <w:szCs w:val="24"/>
                <w:lang w:val="kk-KZ"/>
              </w:rPr>
              <w:t>Діни экстремизм мен терроризмнің таралуын алдын алуда ақпараттық түсіндіру жұмыстарында танымал тұлғаларды қатыстыра отырып жаңаша форматта шараларды ұйымдастыру, аталған шараның тиімділігіне әсер етеді.  Осы орайда, танымал тұлғаларды тарта отырып деструктивті идеологияға тұрақты иммунитетті қалыптастыру үшін жастардың,</w:t>
            </w:r>
            <w:r>
              <w:rPr>
                <w:b w:val="0"/>
                <w:bCs w:val="0"/>
                <w:sz w:val="24"/>
                <w:szCs w:val="24"/>
                <w:lang w:val="kk-KZ"/>
              </w:rPr>
              <w:t xml:space="preserve"> </w:t>
            </w:r>
            <w:r w:rsidRPr="00A16DBF">
              <w:rPr>
                <w:b w:val="0"/>
                <w:bCs w:val="0"/>
                <w:sz w:val="24"/>
                <w:szCs w:val="24"/>
                <w:lang w:val="kk-KZ"/>
              </w:rPr>
              <w:t xml:space="preserve">тұрғындардың қатысуымен TedX форматындағы кездесулерді өткізу қажет. </w:t>
            </w:r>
          </w:p>
        </w:tc>
        <w:tc>
          <w:tcPr>
            <w:tcW w:w="1418" w:type="dxa"/>
            <w:vAlign w:val="center"/>
          </w:tcPr>
          <w:p w14:paraId="465C6472" w14:textId="4CAD7C3D" w:rsidR="00566C97" w:rsidRPr="00A16DBF" w:rsidRDefault="00566C97" w:rsidP="00B7060E">
            <w:pPr>
              <w:pStyle w:val="3"/>
              <w:spacing w:before="0" w:beforeAutospacing="0" w:after="0" w:afterAutospacing="0"/>
              <w:ind w:hanging="108"/>
              <w:jc w:val="center"/>
              <w:rPr>
                <w:b w:val="0"/>
                <w:bCs w:val="0"/>
                <w:sz w:val="24"/>
                <w:szCs w:val="24"/>
                <w:lang w:val="kk-KZ"/>
              </w:rPr>
            </w:pPr>
            <w:r w:rsidRPr="00A16DBF">
              <w:rPr>
                <w:b w:val="0"/>
                <w:bCs w:val="0"/>
                <w:sz w:val="24"/>
                <w:szCs w:val="24"/>
                <w:lang w:val="kk-KZ"/>
              </w:rPr>
              <w:t>2023жыл-</w:t>
            </w:r>
          </w:p>
          <w:p w14:paraId="61864B32" w14:textId="24516BFE" w:rsidR="00566C97" w:rsidRPr="00A16DBF" w:rsidRDefault="00566C97" w:rsidP="00B7060E">
            <w:pPr>
              <w:pStyle w:val="3"/>
              <w:spacing w:before="0" w:beforeAutospacing="0" w:after="0" w:afterAutospacing="0"/>
              <w:ind w:hanging="108"/>
              <w:jc w:val="center"/>
              <w:rPr>
                <w:b w:val="0"/>
                <w:bCs w:val="0"/>
                <w:color w:val="000000"/>
                <w:sz w:val="24"/>
                <w:szCs w:val="24"/>
                <w:lang w:val="kk-KZ"/>
              </w:rPr>
            </w:pPr>
            <w:r w:rsidRPr="00A16DBF">
              <w:rPr>
                <w:b w:val="0"/>
                <w:bCs w:val="0"/>
                <w:color w:val="000000"/>
                <w:sz w:val="24"/>
                <w:szCs w:val="24"/>
                <w:lang w:val="kk-KZ"/>
              </w:rPr>
              <w:t>5 000</w:t>
            </w:r>
          </w:p>
          <w:p w14:paraId="77FF9893" w14:textId="77777777" w:rsidR="00566C97" w:rsidRPr="00A16DBF" w:rsidRDefault="00566C97" w:rsidP="00B7060E">
            <w:pPr>
              <w:pStyle w:val="3"/>
              <w:spacing w:before="0" w:beforeAutospacing="0" w:after="0" w:afterAutospacing="0"/>
              <w:ind w:hanging="108"/>
              <w:jc w:val="center"/>
              <w:rPr>
                <w:b w:val="0"/>
                <w:bCs w:val="0"/>
                <w:color w:val="000000"/>
                <w:sz w:val="24"/>
                <w:szCs w:val="24"/>
                <w:lang w:val="kk-KZ"/>
              </w:rPr>
            </w:pPr>
            <w:r w:rsidRPr="00A16DBF">
              <w:rPr>
                <w:b w:val="0"/>
                <w:bCs w:val="0"/>
                <w:color w:val="000000"/>
                <w:sz w:val="24"/>
                <w:szCs w:val="24"/>
                <w:lang w:val="kk-KZ"/>
              </w:rPr>
              <w:t>мың  тг</w:t>
            </w:r>
          </w:p>
          <w:p w14:paraId="238D3052" w14:textId="77777777" w:rsidR="00566C97" w:rsidRPr="00A16DBF" w:rsidRDefault="00566C97" w:rsidP="00B7060E">
            <w:pPr>
              <w:pStyle w:val="3"/>
              <w:spacing w:before="0" w:beforeAutospacing="0" w:after="0" w:afterAutospacing="0"/>
              <w:ind w:hanging="108"/>
              <w:jc w:val="center"/>
              <w:rPr>
                <w:b w:val="0"/>
                <w:bCs w:val="0"/>
                <w:color w:val="000000"/>
                <w:sz w:val="24"/>
                <w:szCs w:val="24"/>
                <w:lang w:val="kk-KZ"/>
              </w:rPr>
            </w:pPr>
          </w:p>
          <w:p w14:paraId="7F4309E8" w14:textId="77777777" w:rsidR="00566C97" w:rsidRPr="00A16DBF" w:rsidRDefault="00566C97" w:rsidP="00B7060E">
            <w:pPr>
              <w:pStyle w:val="3"/>
              <w:spacing w:before="0" w:beforeAutospacing="0" w:after="0" w:afterAutospacing="0"/>
              <w:jc w:val="center"/>
              <w:rPr>
                <w:b w:val="0"/>
                <w:bCs w:val="0"/>
                <w:sz w:val="24"/>
                <w:szCs w:val="24"/>
                <w:lang w:val="kk-KZ"/>
              </w:rPr>
            </w:pPr>
          </w:p>
        </w:tc>
        <w:tc>
          <w:tcPr>
            <w:tcW w:w="1134" w:type="dxa"/>
            <w:vAlign w:val="center"/>
          </w:tcPr>
          <w:p w14:paraId="49E005BD" w14:textId="455B141D" w:rsidR="00566C97" w:rsidRDefault="00566C97" w:rsidP="00B7060E">
            <w:pPr>
              <w:pStyle w:val="3"/>
              <w:spacing w:before="0" w:beforeAutospacing="0" w:after="0" w:afterAutospacing="0"/>
              <w:ind w:hanging="108"/>
              <w:jc w:val="center"/>
              <w:rPr>
                <w:b w:val="0"/>
                <w:bCs w:val="0"/>
                <w:sz w:val="24"/>
                <w:szCs w:val="24"/>
                <w:lang w:val="kk-KZ"/>
              </w:rPr>
            </w:pPr>
            <w:r w:rsidRPr="00A16DBF">
              <w:rPr>
                <w:b w:val="0"/>
                <w:bCs w:val="0"/>
                <w:sz w:val="24"/>
                <w:szCs w:val="24"/>
                <w:lang w:val="kk-KZ"/>
              </w:rPr>
              <w:t>1 қысқа мерзімді грант</w:t>
            </w:r>
          </w:p>
          <w:p w14:paraId="521F7A1F" w14:textId="77777777" w:rsidR="00566C97" w:rsidRPr="00A16DBF" w:rsidRDefault="00566C97" w:rsidP="00B7060E">
            <w:pPr>
              <w:pStyle w:val="3"/>
              <w:spacing w:before="0" w:beforeAutospacing="0" w:after="0" w:afterAutospacing="0"/>
              <w:ind w:hanging="108"/>
              <w:jc w:val="center"/>
              <w:rPr>
                <w:b w:val="0"/>
                <w:bCs w:val="0"/>
                <w:sz w:val="24"/>
                <w:szCs w:val="24"/>
                <w:lang w:val="kk-KZ"/>
              </w:rPr>
            </w:pPr>
          </w:p>
          <w:p w14:paraId="3248F243" w14:textId="77777777" w:rsidR="00566C97" w:rsidRPr="00A16DBF" w:rsidRDefault="00566C97" w:rsidP="00B7060E">
            <w:pPr>
              <w:pStyle w:val="3"/>
              <w:spacing w:before="0" w:beforeAutospacing="0" w:after="0" w:afterAutospacing="0"/>
              <w:ind w:hanging="108"/>
              <w:jc w:val="center"/>
              <w:rPr>
                <w:b w:val="0"/>
                <w:bCs w:val="0"/>
                <w:sz w:val="24"/>
                <w:szCs w:val="24"/>
                <w:lang w:val="kk-KZ"/>
              </w:rPr>
            </w:pPr>
          </w:p>
          <w:p w14:paraId="3382BC92" w14:textId="77777777" w:rsidR="00566C97" w:rsidRPr="00A16DBF" w:rsidRDefault="00566C97" w:rsidP="00B7060E">
            <w:pPr>
              <w:pStyle w:val="3"/>
              <w:spacing w:before="0" w:beforeAutospacing="0" w:after="0" w:afterAutospacing="0"/>
              <w:ind w:hanging="108"/>
              <w:jc w:val="center"/>
              <w:rPr>
                <w:b w:val="0"/>
                <w:bCs w:val="0"/>
                <w:color w:val="000000"/>
                <w:sz w:val="24"/>
                <w:szCs w:val="24"/>
                <w:lang w:val="kk-KZ"/>
              </w:rPr>
            </w:pPr>
          </w:p>
          <w:p w14:paraId="39890AC6" w14:textId="77777777" w:rsidR="00566C97" w:rsidRPr="00A16DBF" w:rsidRDefault="00566C97" w:rsidP="00B7060E">
            <w:pPr>
              <w:pStyle w:val="3"/>
              <w:spacing w:before="0" w:beforeAutospacing="0" w:after="0" w:afterAutospacing="0"/>
              <w:ind w:hanging="108"/>
              <w:jc w:val="center"/>
              <w:rPr>
                <w:b w:val="0"/>
                <w:bCs w:val="0"/>
                <w:i/>
                <w:sz w:val="24"/>
                <w:szCs w:val="24"/>
                <w:lang w:val="kk-KZ"/>
              </w:rPr>
            </w:pPr>
          </w:p>
        </w:tc>
        <w:tc>
          <w:tcPr>
            <w:tcW w:w="4961" w:type="dxa"/>
          </w:tcPr>
          <w:p w14:paraId="596F30AF" w14:textId="2047D66B" w:rsidR="00566C97" w:rsidRPr="00A16DBF" w:rsidRDefault="00566C97" w:rsidP="005B4C9F">
            <w:pPr>
              <w:jc w:val="both"/>
              <w:rPr>
                <w:rFonts w:ascii="Times New Roman" w:hAnsi="Times New Roman" w:cs="Times New Roman"/>
                <w:color w:val="000000" w:themeColor="text1"/>
                <w:sz w:val="24"/>
                <w:szCs w:val="24"/>
                <w:lang w:val="kk-KZ"/>
              </w:rPr>
            </w:pPr>
            <w:r w:rsidRPr="00A16DBF">
              <w:rPr>
                <w:rFonts w:ascii="Times New Roman" w:hAnsi="Times New Roman" w:cs="Times New Roman"/>
                <w:color w:val="000000" w:themeColor="text1"/>
                <w:sz w:val="24"/>
                <w:szCs w:val="24"/>
                <w:lang w:val="kk-KZ"/>
              </w:rPr>
              <w:t xml:space="preserve">Нысаналы индикатор: </w:t>
            </w:r>
          </w:p>
          <w:p w14:paraId="662D7089" w14:textId="6740975B" w:rsidR="00566C97" w:rsidRPr="00A16DBF" w:rsidRDefault="00566C97" w:rsidP="005B4C9F">
            <w:pPr>
              <w:jc w:val="both"/>
              <w:rPr>
                <w:rFonts w:ascii="Times New Roman" w:hAnsi="Times New Roman" w:cs="Times New Roman"/>
                <w:color w:val="000000" w:themeColor="text1"/>
                <w:sz w:val="24"/>
                <w:szCs w:val="24"/>
                <w:lang w:val="kk-KZ"/>
              </w:rPr>
            </w:pPr>
            <w:r w:rsidRPr="00A16DBF">
              <w:rPr>
                <w:rFonts w:ascii="Times New Roman" w:hAnsi="Times New Roman" w:cs="Times New Roman"/>
                <w:color w:val="000000" w:themeColor="text1"/>
                <w:sz w:val="24"/>
                <w:szCs w:val="24"/>
                <w:lang w:val="kk-KZ"/>
              </w:rPr>
              <w:t xml:space="preserve">жобаны офлайн форматында өткізе отырып, 3000 Маңғыстаулық тұрғынды </w:t>
            </w:r>
            <w:r w:rsidRPr="00A16DBF">
              <w:rPr>
                <w:rFonts w:ascii="Times New Roman" w:hAnsi="Times New Roman" w:cs="Times New Roman"/>
                <w:sz w:val="24"/>
                <w:szCs w:val="24"/>
                <w:lang w:val="kk-KZ"/>
              </w:rPr>
              <w:t>ақпараттық түсіндіру жұмыстарымен қамту.</w:t>
            </w:r>
          </w:p>
          <w:p w14:paraId="78433293" w14:textId="58B64B68" w:rsidR="00566C97" w:rsidRPr="00A16DBF" w:rsidRDefault="00566C97" w:rsidP="005B4C9F">
            <w:pPr>
              <w:jc w:val="both"/>
              <w:rPr>
                <w:rFonts w:ascii="Times New Roman" w:hAnsi="Times New Roman" w:cs="Times New Roman"/>
                <w:color w:val="000000" w:themeColor="text1"/>
                <w:sz w:val="24"/>
                <w:szCs w:val="24"/>
                <w:lang w:val="kk-KZ"/>
              </w:rPr>
            </w:pPr>
            <w:r w:rsidRPr="00A16DBF">
              <w:rPr>
                <w:rFonts w:ascii="Times New Roman" w:hAnsi="Times New Roman" w:cs="Times New Roman"/>
                <w:color w:val="000000" w:themeColor="text1"/>
                <w:sz w:val="24"/>
                <w:szCs w:val="24"/>
                <w:lang w:val="kk-KZ"/>
              </w:rPr>
              <w:t>Күтілетін нәтиже:</w:t>
            </w:r>
          </w:p>
          <w:p w14:paraId="44F82671" w14:textId="4EF00A06" w:rsidR="00566C97" w:rsidRPr="00A16DBF" w:rsidRDefault="00566C97" w:rsidP="009A134F">
            <w:pPr>
              <w:pStyle w:val="a5"/>
              <w:numPr>
                <w:ilvl w:val="0"/>
                <w:numId w:val="1"/>
              </w:numPr>
              <w:tabs>
                <w:tab w:val="left" w:pos="408"/>
              </w:tabs>
              <w:ind w:left="0" w:firstLine="33"/>
              <w:jc w:val="both"/>
              <w:rPr>
                <w:color w:val="000000" w:themeColor="text1"/>
                <w:lang w:val="kk-KZ"/>
              </w:rPr>
            </w:pPr>
            <w:r w:rsidRPr="00A16DBF">
              <w:rPr>
                <w:color w:val="000000" w:themeColor="text1"/>
                <w:lang w:val="kk-KZ"/>
              </w:rPr>
              <w:t>Жоба аясында Қазақстанға танымал</w:t>
            </w:r>
            <w:r>
              <w:rPr>
                <w:color w:val="000000" w:themeColor="text1"/>
                <w:lang w:val="kk-KZ"/>
              </w:rPr>
              <w:t>, әлеуметтік желіде оқырманы көп</w:t>
            </w:r>
            <w:r w:rsidRPr="00A16DBF">
              <w:rPr>
                <w:color w:val="000000" w:themeColor="text1"/>
                <w:lang w:val="kk-KZ"/>
              </w:rPr>
              <w:t xml:space="preserve"> дінтанушы, исламтанушы, мәдениеттанушы, тарихшы, саясаттанушы, психолог т.б. кемінде 5 тұлғаны Маңғыстау өңірінде өтетін шараларға қатыстыру;</w:t>
            </w:r>
          </w:p>
          <w:p w14:paraId="7EE78C65" w14:textId="428D29A2" w:rsidR="00566C97" w:rsidRPr="00A16DBF" w:rsidRDefault="00566C97" w:rsidP="009A134F">
            <w:pPr>
              <w:pStyle w:val="a5"/>
              <w:numPr>
                <w:ilvl w:val="0"/>
                <w:numId w:val="1"/>
              </w:numPr>
              <w:tabs>
                <w:tab w:val="left" w:pos="408"/>
              </w:tabs>
              <w:ind w:left="0" w:firstLine="33"/>
              <w:jc w:val="both"/>
              <w:rPr>
                <w:color w:val="000000" w:themeColor="text1"/>
                <w:lang w:val="kk-KZ"/>
              </w:rPr>
            </w:pPr>
            <w:r w:rsidRPr="00A16DBF">
              <w:rPr>
                <w:color w:val="000000" w:themeColor="text1"/>
                <w:lang w:val="kk-KZ"/>
              </w:rPr>
              <w:t xml:space="preserve">жобаны іске асыру шеңберінде өткізілетін шаралар </w:t>
            </w:r>
            <w:r w:rsidRPr="00AE05E6">
              <w:rPr>
                <w:lang w:val="kk-KZ"/>
              </w:rPr>
              <w:t>TedX</w:t>
            </w:r>
            <w:r w:rsidRPr="00A16DBF">
              <w:rPr>
                <w:color w:val="000000" w:themeColor="text1"/>
                <w:lang w:val="kk-KZ"/>
              </w:rPr>
              <w:t xml:space="preserve"> форматында болуын қамтамасыз ету;</w:t>
            </w:r>
          </w:p>
          <w:p w14:paraId="3E2F1517" w14:textId="3C82FB80" w:rsidR="00566C97" w:rsidRPr="00AE05E6" w:rsidRDefault="00566C97" w:rsidP="00F85B60">
            <w:pPr>
              <w:pStyle w:val="a5"/>
              <w:numPr>
                <w:ilvl w:val="0"/>
                <w:numId w:val="1"/>
              </w:numPr>
              <w:tabs>
                <w:tab w:val="left" w:pos="408"/>
              </w:tabs>
              <w:ind w:left="0" w:firstLine="33"/>
              <w:jc w:val="both"/>
              <w:rPr>
                <w:color w:val="000000" w:themeColor="text1"/>
                <w:lang w:val="kk-KZ"/>
              </w:rPr>
            </w:pPr>
            <w:r w:rsidRPr="00A16DBF">
              <w:rPr>
                <w:color w:val="000000" w:themeColor="text1"/>
                <w:lang w:val="kk-KZ"/>
              </w:rPr>
              <w:t xml:space="preserve">кем дегенде 3000 жасқа, тұрғынға діни </w:t>
            </w:r>
            <w:r w:rsidRPr="00A16DBF">
              <w:rPr>
                <w:lang w:val="kk-KZ"/>
              </w:rPr>
              <w:t xml:space="preserve">экстремизм мен терроризмнің таралуын </w:t>
            </w:r>
            <w:r w:rsidRPr="00AE05E6">
              <w:rPr>
                <w:lang w:val="kk-KZ"/>
              </w:rPr>
              <w:t>алдын алу бойынша ақпарат беріліп, олардан кері байланыс алынуы тиіс;</w:t>
            </w:r>
            <w:r w:rsidRPr="00AE05E6">
              <w:rPr>
                <w:color w:val="000000" w:themeColor="text1"/>
                <w:lang w:val="kk-KZ"/>
              </w:rPr>
              <w:t xml:space="preserve"> </w:t>
            </w:r>
          </w:p>
          <w:p w14:paraId="3F90317A" w14:textId="73D0AA97" w:rsidR="00566C97" w:rsidRPr="00A16DBF" w:rsidRDefault="00566C97" w:rsidP="00F85B60">
            <w:pPr>
              <w:pStyle w:val="a5"/>
              <w:numPr>
                <w:ilvl w:val="0"/>
                <w:numId w:val="1"/>
              </w:numPr>
              <w:tabs>
                <w:tab w:val="left" w:pos="408"/>
              </w:tabs>
              <w:ind w:left="0" w:firstLine="33"/>
              <w:jc w:val="both"/>
              <w:rPr>
                <w:color w:val="000000" w:themeColor="text1"/>
                <w:lang w:val="kk-KZ"/>
              </w:rPr>
            </w:pPr>
            <w:r w:rsidRPr="00A16DBF">
              <w:rPr>
                <w:color w:val="000000" w:themeColor="text1"/>
                <w:lang w:val="kk-KZ"/>
              </w:rPr>
              <w:t xml:space="preserve">Жоба аясында өткізілетін шараға әр-түрлі санаттағы аудиториялардың (жастар, өндіріс жастары, мұнай саласының мамандары, ауыл </w:t>
            </w:r>
            <w:r w:rsidRPr="00A16DBF">
              <w:rPr>
                <w:color w:val="000000" w:themeColor="text1"/>
                <w:lang w:val="kk-KZ"/>
              </w:rPr>
              <w:lastRenderedPageBreak/>
              <w:t>тұрғындары, білім беру ұйымдарының қызметкерлері) қатысуын қамтамасыз ету.</w:t>
            </w:r>
          </w:p>
          <w:p w14:paraId="1B9856C1" w14:textId="66558548" w:rsidR="00566C97" w:rsidRPr="00A16DBF" w:rsidRDefault="00566C97" w:rsidP="00F85B60">
            <w:pPr>
              <w:pStyle w:val="a5"/>
              <w:numPr>
                <w:ilvl w:val="0"/>
                <w:numId w:val="1"/>
              </w:numPr>
              <w:tabs>
                <w:tab w:val="left" w:pos="408"/>
              </w:tabs>
              <w:ind w:left="0" w:firstLine="33"/>
              <w:jc w:val="both"/>
              <w:rPr>
                <w:color w:val="000000" w:themeColor="text1"/>
                <w:lang w:val="kk-KZ"/>
              </w:rPr>
            </w:pPr>
            <w:r w:rsidRPr="00A16DBF">
              <w:rPr>
                <w:color w:val="000000" w:themeColor="text1"/>
                <w:lang w:val="kk-KZ"/>
              </w:rPr>
              <w:t>Әр өткізілген шарадан кейін кемінде 5 адамнан шара туралы сұхбат алып, видеоға түсіріп, жариялау;</w:t>
            </w:r>
          </w:p>
          <w:p w14:paraId="2DAA7159" w14:textId="0BF96E2B" w:rsidR="00566C97" w:rsidRPr="00A16DBF" w:rsidRDefault="00566C97" w:rsidP="00993BA9">
            <w:pPr>
              <w:pStyle w:val="a5"/>
              <w:numPr>
                <w:ilvl w:val="0"/>
                <w:numId w:val="1"/>
              </w:numPr>
              <w:tabs>
                <w:tab w:val="left" w:pos="408"/>
              </w:tabs>
              <w:ind w:left="0" w:firstLine="33"/>
              <w:jc w:val="both"/>
              <w:rPr>
                <w:color w:val="000000" w:themeColor="text1"/>
                <w:lang w:val="kk-KZ"/>
              </w:rPr>
            </w:pPr>
            <w:r w:rsidRPr="00A16DBF">
              <w:rPr>
                <w:color w:val="000000" w:themeColor="text1"/>
                <w:lang w:val="kk-KZ"/>
              </w:rPr>
              <w:t>Әр өткізілген шараны басынан соңына дейін толық видеоматериалын түсіру;</w:t>
            </w:r>
          </w:p>
        </w:tc>
      </w:tr>
      <w:tr w:rsidR="00566C97" w:rsidRPr="00A2135B" w14:paraId="4BF87659" w14:textId="77777777" w:rsidTr="00A37DE6">
        <w:trPr>
          <w:trHeight w:val="1835"/>
          <w:jc w:val="center"/>
        </w:trPr>
        <w:tc>
          <w:tcPr>
            <w:tcW w:w="509" w:type="dxa"/>
            <w:vAlign w:val="center"/>
          </w:tcPr>
          <w:p w14:paraId="67FDF27F" w14:textId="77777777" w:rsidR="00566C97" w:rsidRPr="0041270B" w:rsidRDefault="00566C97" w:rsidP="00B7060E">
            <w:pPr>
              <w:pStyle w:val="a5"/>
              <w:numPr>
                <w:ilvl w:val="0"/>
                <w:numId w:val="2"/>
              </w:numPr>
              <w:pBdr>
                <w:top w:val="nil"/>
                <w:left w:val="nil"/>
                <w:bottom w:val="nil"/>
                <w:right w:val="nil"/>
                <w:between w:val="nil"/>
              </w:pBdr>
              <w:jc w:val="center"/>
              <w:rPr>
                <w:lang w:val="kk-KZ"/>
              </w:rPr>
            </w:pPr>
          </w:p>
        </w:tc>
        <w:tc>
          <w:tcPr>
            <w:tcW w:w="1896" w:type="dxa"/>
            <w:vAlign w:val="center"/>
          </w:tcPr>
          <w:p w14:paraId="144CDA11" w14:textId="7A4CE26F" w:rsidR="00566C97" w:rsidRPr="00A16DBF" w:rsidRDefault="00566C97" w:rsidP="00B7060E">
            <w:pPr>
              <w:rPr>
                <w:rFonts w:ascii="Times New Roman" w:hAnsi="Times New Roman" w:cs="Times New Roman"/>
                <w:sz w:val="24"/>
                <w:szCs w:val="24"/>
                <w:lang w:val="kk-KZ"/>
              </w:rPr>
            </w:pPr>
            <w:r w:rsidRPr="00A16DBF">
              <w:rPr>
                <w:rFonts w:ascii="Times New Roman" w:hAnsi="Times New Roman" w:cs="Times New Roman"/>
                <w:sz w:val="24"/>
                <w:szCs w:val="24"/>
                <w:lang w:val="kk-KZ"/>
              </w:rPr>
              <w:t>Қоғамдық келісім мен жалпыұлттық бірлікті нығайту</w:t>
            </w:r>
          </w:p>
        </w:tc>
        <w:tc>
          <w:tcPr>
            <w:tcW w:w="2126" w:type="dxa"/>
          </w:tcPr>
          <w:p w14:paraId="63566F2D" w14:textId="0E74A5F5" w:rsidR="00566C97" w:rsidRPr="00A16DBF" w:rsidRDefault="00566C97" w:rsidP="00F13F32">
            <w:pPr>
              <w:jc w:val="center"/>
              <w:rPr>
                <w:rFonts w:ascii="Times New Roman" w:eastAsia="Calibri" w:hAnsi="Times New Roman" w:cs="Times New Roman"/>
                <w:color w:val="000000"/>
                <w:spacing w:val="2"/>
                <w:sz w:val="24"/>
                <w:szCs w:val="24"/>
                <w:lang w:val="kk-KZ"/>
              </w:rPr>
            </w:pPr>
            <w:r w:rsidRPr="00A16DBF">
              <w:rPr>
                <w:rFonts w:ascii="Times New Roman" w:hAnsi="Times New Roman" w:cs="Times New Roman"/>
                <w:color w:val="000000"/>
                <w:sz w:val="24"/>
                <w:szCs w:val="24"/>
                <w:lang w:val="kk-KZ"/>
              </w:rPr>
              <w:t>Интернет-кең</w:t>
            </w:r>
            <w:r>
              <w:rPr>
                <w:rFonts w:ascii="Times New Roman" w:hAnsi="Times New Roman" w:cs="Times New Roman"/>
                <w:color w:val="000000"/>
                <w:sz w:val="24"/>
                <w:szCs w:val="24"/>
                <w:lang w:val="kk-KZ"/>
              </w:rPr>
              <w:t>і</w:t>
            </w:r>
            <w:r w:rsidRPr="00A16DBF">
              <w:rPr>
                <w:rFonts w:ascii="Times New Roman" w:hAnsi="Times New Roman" w:cs="Times New Roman"/>
                <w:color w:val="000000"/>
                <w:sz w:val="24"/>
                <w:szCs w:val="24"/>
                <w:lang w:val="kk-KZ"/>
              </w:rPr>
              <w:t>стікте  радикалдық идеологияға қарсы иммунитетті қалыптастыру үшін қарсы насихат материалдарын дайындау және жылжыту</w:t>
            </w:r>
          </w:p>
        </w:tc>
        <w:tc>
          <w:tcPr>
            <w:tcW w:w="3291" w:type="dxa"/>
          </w:tcPr>
          <w:p w14:paraId="05F4099D" w14:textId="714E36D2" w:rsidR="00566C97" w:rsidRPr="00A16DBF" w:rsidRDefault="00566C97" w:rsidP="005B4C9F">
            <w:pPr>
              <w:pStyle w:val="3"/>
              <w:contextualSpacing/>
              <w:jc w:val="both"/>
              <w:rPr>
                <w:b w:val="0"/>
                <w:bCs w:val="0"/>
                <w:sz w:val="24"/>
                <w:szCs w:val="24"/>
                <w:lang w:val="kk-KZ"/>
              </w:rPr>
            </w:pPr>
            <w:r w:rsidRPr="00A16DBF">
              <w:rPr>
                <w:b w:val="0"/>
                <w:bCs w:val="0"/>
                <w:sz w:val="24"/>
                <w:szCs w:val="24"/>
                <w:lang w:val="kk-KZ"/>
              </w:rPr>
              <w:t>Ақпараттық технологиялардың дамуымен Қазақстан үшін жат діни көзқарастардың таралу қаупі де артып келеді. Бүгінгі таңда радикалды және деструктивті діни ағымдардың идеологтары аудиторияға әсер етудің жаңа әдістерін қолдануда, бұл азаматтардың олардың қатарына кіру деңгейін арттырады. Осы ретте, тәжірибелі</w:t>
            </w:r>
            <w:r>
              <w:rPr>
                <w:b w:val="0"/>
                <w:bCs w:val="0"/>
                <w:sz w:val="24"/>
                <w:szCs w:val="24"/>
                <w:lang w:val="kk-KZ"/>
              </w:rPr>
              <w:t xml:space="preserve"> </w:t>
            </w:r>
            <w:r w:rsidRPr="00CB46AC">
              <w:rPr>
                <w:b w:val="0"/>
                <w:bCs w:val="0"/>
                <w:sz w:val="24"/>
                <w:szCs w:val="24"/>
                <w:lang w:val="kk-KZ"/>
              </w:rPr>
              <w:t>SMM</w:t>
            </w:r>
            <w:r w:rsidRPr="00A16DBF">
              <w:rPr>
                <w:b w:val="0"/>
                <w:bCs w:val="0"/>
                <w:sz w:val="24"/>
                <w:szCs w:val="24"/>
                <w:lang w:val="kk-KZ"/>
              </w:rPr>
              <w:t>, тергетолог, дизайнер мамандарды  тарта отырып, әлеуметтік желілерде қарсынасихаттық материалдар жариялап, оқырмандардың санын көбейту маңызға ие. Аталған себепті өңірдегі тұрғындарға арналған и</w:t>
            </w:r>
            <w:r w:rsidRPr="00A16DBF">
              <w:rPr>
                <w:b w:val="0"/>
                <w:bCs w:val="0"/>
                <w:color w:val="000000"/>
                <w:sz w:val="24"/>
                <w:szCs w:val="24"/>
                <w:lang w:val="kk-KZ"/>
              </w:rPr>
              <w:t xml:space="preserve">нтернет-кеңестікте  радикалдық идеологияға қарсы иммунитетті қалыптастыру </w:t>
            </w:r>
            <w:r w:rsidRPr="00A16DBF">
              <w:rPr>
                <w:b w:val="0"/>
                <w:bCs w:val="0"/>
                <w:sz w:val="24"/>
                <w:szCs w:val="24"/>
                <w:lang w:val="kk-KZ"/>
              </w:rPr>
              <w:t>қажет.</w:t>
            </w:r>
          </w:p>
        </w:tc>
        <w:tc>
          <w:tcPr>
            <w:tcW w:w="1418" w:type="dxa"/>
            <w:vAlign w:val="center"/>
          </w:tcPr>
          <w:p w14:paraId="5E046A24" w14:textId="77777777" w:rsidR="00566C97" w:rsidRPr="00A16DBF" w:rsidRDefault="00566C97" w:rsidP="00B7060E">
            <w:pPr>
              <w:pStyle w:val="3"/>
              <w:spacing w:before="0" w:beforeAutospacing="0" w:after="0" w:afterAutospacing="0"/>
              <w:ind w:hanging="108"/>
              <w:jc w:val="center"/>
              <w:rPr>
                <w:b w:val="0"/>
                <w:bCs w:val="0"/>
                <w:sz w:val="24"/>
                <w:szCs w:val="24"/>
                <w:lang w:val="kk-KZ"/>
              </w:rPr>
            </w:pPr>
            <w:r w:rsidRPr="00A16DBF">
              <w:rPr>
                <w:b w:val="0"/>
                <w:bCs w:val="0"/>
                <w:sz w:val="24"/>
                <w:szCs w:val="24"/>
                <w:lang w:val="kk-KZ"/>
              </w:rPr>
              <w:t>2023жыл-–</w:t>
            </w:r>
          </w:p>
          <w:p w14:paraId="6A68C5DC" w14:textId="77777777" w:rsidR="00566C97" w:rsidRPr="00A16DBF" w:rsidRDefault="00566C97" w:rsidP="00B7060E">
            <w:pPr>
              <w:pStyle w:val="3"/>
              <w:spacing w:before="0" w:beforeAutospacing="0" w:after="0" w:afterAutospacing="0"/>
              <w:ind w:hanging="108"/>
              <w:jc w:val="center"/>
              <w:rPr>
                <w:b w:val="0"/>
                <w:bCs w:val="0"/>
                <w:color w:val="000000"/>
                <w:sz w:val="24"/>
                <w:szCs w:val="24"/>
                <w:lang w:val="kk-KZ"/>
              </w:rPr>
            </w:pPr>
            <w:r w:rsidRPr="00A16DBF">
              <w:rPr>
                <w:b w:val="0"/>
                <w:bCs w:val="0"/>
                <w:color w:val="000000"/>
                <w:sz w:val="24"/>
                <w:szCs w:val="24"/>
                <w:lang w:val="kk-KZ"/>
              </w:rPr>
              <w:t>5 000</w:t>
            </w:r>
          </w:p>
          <w:p w14:paraId="507B8082" w14:textId="77777777" w:rsidR="00566C97" w:rsidRPr="00A16DBF" w:rsidRDefault="00566C97" w:rsidP="00B7060E">
            <w:pPr>
              <w:pStyle w:val="3"/>
              <w:spacing w:before="0" w:beforeAutospacing="0" w:after="0" w:afterAutospacing="0"/>
              <w:ind w:hanging="108"/>
              <w:jc w:val="center"/>
              <w:rPr>
                <w:b w:val="0"/>
                <w:bCs w:val="0"/>
                <w:color w:val="000000"/>
                <w:sz w:val="24"/>
                <w:szCs w:val="24"/>
                <w:lang w:val="kk-KZ"/>
              </w:rPr>
            </w:pPr>
            <w:r w:rsidRPr="00A16DBF">
              <w:rPr>
                <w:b w:val="0"/>
                <w:bCs w:val="0"/>
                <w:color w:val="000000"/>
                <w:sz w:val="24"/>
                <w:szCs w:val="24"/>
                <w:lang w:val="kk-KZ"/>
              </w:rPr>
              <w:t>мың  тг</w:t>
            </w:r>
          </w:p>
          <w:p w14:paraId="2CFDD12C" w14:textId="77777777" w:rsidR="00566C97" w:rsidRPr="00A16DBF" w:rsidRDefault="00566C97" w:rsidP="00B7060E">
            <w:pPr>
              <w:pStyle w:val="3"/>
              <w:spacing w:before="0" w:beforeAutospacing="0" w:after="0" w:afterAutospacing="0"/>
              <w:ind w:hanging="108"/>
              <w:jc w:val="center"/>
              <w:rPr>
                <w:b w:val="0"/>
                <w:bCs w:val="0"/>
                <w:color w:val="000000"/>
                <w:sz w:val="24"/>
                <w:szCs w:val="24"/>
                <w:lang w:val="kk-KZ"/>
              </w:rPr>
            </w:pPr>
          </w:p>
          <w:p w14:paraId="7E216D99" w14:textId="77777777" w:rsidR="00566C97" w:rsidRPr="00A16DBF" w:rsidRDefault="00566C97" w:rsidP="00B7060E">
            <w:pPr>
              <w:pStyle w:val="3"/>
              <w:spacing w:before="0" w:beforeAutospacing="0" w:after="0" w:afterAutospacing="0"/>
              <w:ind w:hanging="108"/>
              <w:jc w:val="center"/>
              <w:rPr>
                <w:b w:val="0"/>
                <w:bCs w:val="0"/>
                <w:sz w:val="24"/>
                <w:szCs w:val="24"/>
                <w:lang w:val="kk-KZ"/>
              </w:rPr>
            </w:pPr>
          </w:p>
        </w:tc>
        <w:tc>
          <w:tcPr>
            <w:tcW w:w="1134" w:type="dxa"/>
            <w:vAlign w:val="center"/>
          </w:tcPr>
          <w:p w14:paraId="204E4593" w14:textId="17665A8F" w:rsidR="00566C97" w:rsidRDefault="00566C97" w:rsidP="00B7060E">
            <w:pPr>
              <w:pStyle w:val="3"/>
              <w:spacing w:before="0" w:beforeAutospacing="0" w:after="0" w:afterAutospacing="0"/>
              <w:ind w:hanging="108"/>
              <w:jc w:val="center"/>
              <w:rPr>
                <w:b w:val="0"/>
                <w:bCs w:val="0"/>
                <w:sz w:val="24"/>
                <w:szCs w:val="24"/>
                <w:lang w:val="kk-KZ"/>
              </w:rPr>
            </w:pPr>
            <w:r w:rsidRPr="00A16DBF">
              <w:rPr>
                <w:b w:val="0"/>
                <w:bCs w:val="0"/>
                <w:sz w:val="24"/>
                <w:szCs w:val="24"/>
                <w:lang w:val="kk-KZ"/>
              </w:rPr>
              <w:t>1 қысқа мерзімді грант</w:t>
            </w:r>
          </w:p>
          <w:p w14:paraId="75CFE1E7" w14:textId="77777777" w:rsidR="00566C97" w:rsidRPr="00A16DBF" w:rsidRDefault="00566C97" w:rsidP="00B7060E">
            <w:pPr>
              <w:pStyle w:val="3"/>
              <w:spacing w:before="0" w:beforeAutospacing="0" w:after="0" w:afterAutospacing="0"/>
              <w:ind w:hanging="108"/>
              <w:jc w:val="center"/>
              <w:rPr>
                <w:b w:val="0"/>
                <w:bCs w:val="0"/>
                <w:sz w:val="24"/>
                <w:szCs w:val="24"/>
                <w:lang w:val="kk-KZ"/>
              </w:rPr>
            </w:pPr>
          </w:p>
          <w:p w14:paraId="431A6263" w14:textId="77777777" w:rsidR="00566C97" w:rsidRPr="00A16DBF" w:rsidRDefault="00566C97" w:rsidP="00B7060E">
            <w:pPr>
              <w:pStyle w:val="3"/>
              <w:spacing w:before="0" w:beforeAutospacing="0" w:after="0" w:afterAutospacing="0"/>
              <w:ind w:hanging="108"/>
              <w:jc w:val="center"/>
              <w:rPr>
                <w:b w:val="0"/>
                <w:bCs w:val="0"/>
                <w:color w:val="000000"/>
                <w:sz w:val="24"/>
                <w:szCs w:val="24"/>
                <w:lang w:val="kk-KZ"/>
              </w:rPr>
            </w:pPr>
          </w:p>
          <w:p w14:paraId="6376952B" w14:textId="77777777" w:rsidR="00566C97" w:rsidRPr="00A16DBF" w:rsidRDefault="00566C97" w:rsidP="00B7060E">
            <w:pPr>
              <w:pStyle w:val="3"/>
              <w:spacing w:before="0" w:beforeAutospacing="0" w:after="0" w:afterAutospacing="0"/>
              <w:ind w:hanging="108"/>
              <w:jc w:val="center"/>
              <w:rPr>
                <w:b w:val="0"/>
                <w:bCs w:val="0"/>
                <w:sz w:val="24"/>
                <w:szCs w:val="24"/>
                <w:lang w:val="kk-KZ"/>
              </w:rPr>
            </w:pPr>
          </w:p>
        </w:tc>
        <w:tc>
          <w:tcPr>
            <w:tcW w:w="4961" w:type="dxa"/>
          </w:tcPr>
          <w:p w14:paraId="7F136517" w14:textId="261A3159" w:rsidR="00566C97" w:rsidRPr="00615889" w:rsidRDefault="00566C97" w:rsidP="00615889">
            <w:pPr>
              <w:tabs>
                <w:tab w:val="left" w:pos="264"/>
              </w:tabs>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r w:rsidRPr="00F07187">
              <w:rPr>
                <w:rFonts w:ascii="Times New Roman" w:hAnsi="Times New Roman" w:cs="Times New Roman"/>
                <w:color w:val="000000" w:themeColor="text1"/>
                <w:sz w:val="24"/>
                <w:szCs w:val="24"/>
                <w:lang w:val="kk-KZ"/>
              </w:rPr>
              <w:t>Маңғыстау облысы дін істері басқармасы</w:t>
            </w:r>
            <w:r>
              <w:rPr>
                <w:rFonts w:ascii="Times New Roman" w:hAnsi="Times New Roman" w:cs="Times New Roman"/>
                <w:color w:val="000000" w:themeColor="text1"/>
                <w:sz w:val="24"/>
                <w:szCs w:val="24"/>
                <w:lang w:val="kk-KZ"/>
              </w:rPr>
              <w:t xml:space="preserve"> әзірлеген </w:t>
            </w:r>
            <w:r w:rsidRPr="00615889">
              <w:rPr>
                <w:rFonts w:ascii="Times New Roman" w:hAnsi="Times New Roman" w:cs="Times New Roman"/>
                <w:color w:val="000000" w:themeColor="text1"/>
                <w:sz w:val="24"/>
                <w:szCs w:val="24"/>
                <w:lang w:val="kk-KZ"/>
              </w:rPr>
              <w:t>қарсынасихаттық 20 видеоролик</w:t>
            </w:r>
            <w:r>
              <w:rPr>
                <w:rFonts w:ascii="Times New Roman" w:hAnsi="Times New Roman" w:cs="Times New Roman"/>
                <w:color w:val="000000" w:themeColor="text1"/>
                <w:sz w:val="24"/>
                <w:szCs w:val="24"/>
                <w:lang w:val="kk-KZ"/>
              </w:rPr>
              <w:t>ті Маңғыстау облысындағы 50 000 нан жоғары оқырманы бар 5 инстаграм және 2 тик-ток парақшадан жариялауды ұйымдастыру</w:t>
            </w:r>
            <w:r w:rsidRPr="00615889">
              <w:rPr>
                <w:rFonts w:ascii="Times New Roman" w:hAnsi="Times New Roman" w:cs="Times New Roman"/>
                <w:color w:val="000000" w:themeColor="text1"/>
                <w:sz w:val="24"/>
                <w:szCs w:val="24"/>
                <w:lang w:val="kk-KZ"/>
              </w:rPr>
              <w:t>;</w:t>
            </w:r>
          </w:p>
          <w:p w14:paraId="1C4B3AFD" w14:textId="77777777" w:rsidR="00BB7BE0" w:rsidRDefault="00566C97" w:rsidP="001149D9">
            <w:pPr>
              <w:tabs>
                <w:tab w:val="left" w:pos="264"/>
              </w:tabs>
              <w:spacing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r w:rsidRPr="00615889">
              <w:rPr>
                <w:rFonts w:ascii="Times New Roman" w:hAnsi="Times New Roman" w:cs="Times New Roman"/>
                <w:color w:val="000000" w:themeColor="text1"/>
                <w:sz w:val="24"/>
                <w:szCs w:val="24"/>
                <w:lang w:val="kk-KZ"/>
              </w:rPr>
              <w:t>Маңғыстау облысы дін істері басқармасына тиесілі әлеуметтік желі парақшаларына шыққан 1  материалды таргет арқылы жарияла</w:t>
            </w:r>
            <w:r>
              <w:rPr>
                <w:rFonts w:ascii="Times New Roman" w:hAnsi="Times New Roman" w:cs="Times New Roman"/>
                <w:color w:val="000000" w:themeColor="text1"/>
                <w:sz w:val="24"/>
                <w:szCs w:val="24"/>
                <w:lang w:val="kk-KZ"/>
              </w:rPr>
              <w:t>п, қаралым санын арттыру</w:t>
            </w:r>
            <w:r w:rsidRPr="00615889">
              <w:rPr>
                <w:rFonts w:ascii="Times New Roman" w:hAnsi="Times New Roman" w:cs="Times New Roman"/>
                <w:color w:val="000000" w:themeColor="text1"/>
                <w:sz w:val="24"/>
                <w:szCs w:val="24"/>
                <w:lang w:val="kk-KZ"/>
              </w:rPr>
              <w:t xml:space="preserve"> – айына 1 рет;</w:t>
            </w:r>
          </w:p>
          <w:p w14:paraId="2B972DEF" w14:textId="77777777" w:rsidR="009A026D" w:rsidRDefault="00566C97" w:rsidP="00615889">
            <w:pPr>
              <w:tabs>
                <w:tab w:val="left" w:pos="264"/>
              </w:tabs>
              <w:spacing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3) </w:t>
            </w:r>
            <w:r w:rsidRPr="00615889">
              <w:rPr>
                <w:rFonts w:ascii="Times New Roman" w:hAnsi="Times New Roman" w:cs="Times New Roman"/>
                <w:color w:val="000000" w:themeColor="text1"/>
                <w:sz w:val="24"/>
                <w:szCs w:val="24"/>
                <w:lang w:val="kk-KZ"/>
              </w:rPr>
              <w:t xml:space="preserve">2000 дана қарсынасихаттық ақпараттық брашюра шығарып, Маңғыстау тұрғындарына тарату; </w:t>
            </w:r>
          </w:p>
          <w:p w14:paraId="4038C39D" w14:textId="61C9F6A0" w:rsidR="00BB7BE0" w:rsidRDefault="00566C97" w:rsidP="00615889">
            <w:pPr>
              <w:tabs>
                <w:tab w:val="left" w:pos="264"/>
              </w:tabs>
              <w:spacing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4) </w:t>
            </w:r>
            <w:r w:rsidRPr="00615889">
              <w:rPr>
                <w:rFonts w:ascii="Times New Roman" w:hAnsi="Times New Roman" w:cs="Times New Roman"/>
                <w:color w:val="000000" w:themeColor="text1"/>
                <w:sz w:val="24"/>
                <w:szCs w:val="24"/>
                <w:lang w:val="kk-KZ"/>
              </w:rPr>
              <w:t>Ай сайын 20 демативатор әзірлеу және</w:t>
            </w:r>
            <w:r>
              <w:rPr>
                <w:rFonts w:ascii="Times New Roman" w:hAnsi="Times New Roman" w:cs="Times New Roman"/>
                <w:color w:val="000000" w:themeColor="text1"/>
                <w:sz w:val="24"/>
                <w:szCs w:val="24"/>
                <w:lang w:val="kk-KZ"/>
              </w:rPr>
              <w:t xml:space="preserve"> ай сайын 1 демативаторды Ақтау қаласының көшелеріндегі жарнамалық лэд экрандарға </w:t>
            </w:r>
            <w:r w:rsidRPr="00615889">
              <w:rPr>
                <w:rFonts w:ascii="Times New Roman" w:hAnsi="Times New Roman" w:cs="Times New Roman"/>
                <w:color w:val="000000" w:themeColor="text1"/>
                <w:sz w:val="24"/>
                <w:szCs w:val="24"/>
                <w:lang w:val="kk-KZ"/>
              </w:rPr>
              <w:t>жариялау;</w:t>
            </w:r>
          </w:p>
          <w:p w14:paraId="690918A5" w14:textId="08D721CF" w:rsidR="00566C97" w:rsidRDefault="00566C97" w:rsidP="00615889">
            <w:pPr>
              <w:tabs>
                <w:tab w:val="left" w:pos="264"/>
              </w:tabs>
              <w:spacing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5) </w:t>
            </w:r>
            <w:r w:rsidRPr="00615889">
              <w:rPr>
                <w:rFonts w:ascii="Times New Roman" w:hAnsi="Times New Roman" w:cs="Times New Roman"/>
                <w:color w:val="000000" w:themeColor="text1"/>
                <w:sz w:val="24"/>
                <w:szCs w:val="24"/>
                <w:lang w:val="kk-KZ"/>
              </w:rPr>
              <w:t xml:space="preserve">Дін саласына қатысты тақырыптық </w:t>
            </w:r>
            <w:r>
              <w:rPr>
                <w:rFonts w:ascii="Times New Roman" w:hAnsi="Times New Roman" w:cs="Times New Roman"/>
                <w:color w:val="000000" w:themeColor="text1"/>
                <w:sz w:val="24"/>
                <w:szCs w:val="24"/>
                <w:lang w:val="kk-KZ"/>
              </w:rPr>
              <w:t>3</w:t>
            </w:r>
            <w:r w:rsidRPr="00615889">
              <w:rPr>
                <w:rFonts w:ascii="Times New Roman" w:hAnsi="Times New Roman" w:cs="Times New Roman"/>
                <w:color w:val="000000" w:themeColor="text1"/>
                <w:sz w:val="24"/>
                <w:szCs w:val="24"/>
                <w:lang w:val="kk-KZ"/>
              </w:rPr>
              <w:t>0 мақала әзірлеу.</w:t>
            </w:r>
          </w:p>
          <w:p w14:paraId="55E3DEE6" w14:textId="3FF0CDA0" w:rsidR="00566C97" w:rsidRPr="00615889" w:rsidRDefault="00566C97" w:rsidP="00346C6E">
            <w:pPr>
              <w:tabs>
                <w:tab w:val="left" w:pos="548"/>
              </w:tabs>
              <w:spacing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6) Ұлттық құндылықтарды дәріптеу, тәрбиеліп мәні бар, отбасы құндылықтарын насихаттайтын тик-ток пақаршасына арналған 1 минуттық қысқа метражды айына 8 видеороликтер әірлеу, </w:t>
            </w:r>
          </w:p>
          <w:p w14:paraId="574585EF" w14:textId="5FFED28B" w:rsidR="00566C97" w:rsidRPr="00615889" w:rsidRDefault="00566C97" w:rsidP="0030111B">
            <w:pPr>
              <w:tabs>
                <w:tab w:val="left" w:pos="264"/>
              </w:tabs>
              <w:spacing w:line="240" w:lineRule="auto"/>
              <w:jc w:val="both"/>
              <w:rPr>
                <w:color w:val="000000" w:themeColor="text1"/>
                <w:highlight w:val="yellow"/>
                <w:lang w:val="kk-KZ"/>
              </w:rPr>
            </w:pPr>
            <w:r>
              <w:rPr>
                <w:rFonts w:ascii="Times New Roman" w:hAnsi="Times New Roman" w:cs="Times New Roman"/>
                <w:color w:val="000000" w:themeColor="text1"/>
                <w:sz w:val="24"/>
                <w:szCs w:val="24"/>
                <w:lang w:val="kk-KZ"/>
              </w:rPr>
              <w:t xml:space="preserve">7) </w:t>
            </w:r>
            <w:r w:rsidRPr="00615889">
              <w:rPr>
                <w:rFonts w:ascii="Times New Roman" w:hAnsi="Times New Roman" w:cs="Times New Roman"/>
                <w:color w:val="000000" w:themeColor="text1"/>
                <w:sz w:val="24"/>
                <w:szCs w:val="24"/>
                <w:lang w:val="kk-KZ"/>
              </w:rPr>
              <w:t>Қарсы насихаттық жұмыстарын жүргізетін мамандардың  біліктілігін арттыру</w:t>
            </w:r>
            <w:r>
              <w:rPr>
                <w:rFonts w:ascii="Times New Roman" w:hAnsi="Times New Roman" w:cs="Times New Roman"/>
                <w:color w:val="000000" w:themeColor="text1"/>
                <w:sz w:val="24"/>
                <w:szCs w:val="24"/>
                <w:lang w:val="kk-KZ"/>
              </w:rPr>
              <w:t xml:space="preserve"> мақсатында </w:t>
            </w:r>
            <w:r w:rsidRPr="00615889">
              <w:rPr>
                <w:rFonts w:ascii="Times New Roman" w:hAnsi="Times New Roman" w:cs="Times New Roman"/>
                <w:color w:val="000000" w:themeColor="text1"/>
                <w:sz w:val="24"/>
                <w:szCs w:val="24"/>
                <w:lang w:val="kk-KZ"/>
              </w:rPr>
              <w:t xml:space="preserve"> 2</w:t>
            </w:r>
            <w:r>
              <w:rPr>
                <w:rFonts w:ascii="Times New Roman" w:hAnsi="Times New Roman" w:cs="Times New Roman"/>
                <w:color w:val="000000" w:themeColor="text1"/>
                <w:sz w:val="24"/>
                <w:szCs w:val="24"/>
                <w:lang w:val="kk-KZ"/>
              </w:rPr>
              <w:t xml:space="preserve"> </w:t>
            </w:r>
            <w:r w:rsidRPr="00615889">
              <w:rPr>
                <w:rFonts w:ascii="Times New Roman" w:hAnsi="Times New Roman" w:cs="Times New Roman"/>
                <w:color w:val="000000" w:themeColor="text1"/>
                <w:sz w:val="24"/>
                <w:szCs w:val="24"/>
                <w:lang w:val="kk-KZ"/>
              </w:rPr>
              <w:t>семинарын ұйымдастыру;</w:t>
            </w:r>
          </w:p>
        </w:tc>
      </w:tr>
    </w:tbl>
    <w:p w14:paraId="767E0258" w14:textId="1DABC5A2" w:rsidR="009A134F" w:rsidRPr="00E57412" w:rsidRDefault="009A134F">
      <w:pPr>
        <w:rPr>
          <w:lang w:val="kk-KZ"/>
        </w:rPr>
      </w:pPr>
      <w:bookmarkStart w:id="0" w:name="_GoBack"/>
      <w:bookmarkEnd w:id="0"/>
    </w:p>
    <w:sectPr w:rsidR="009A134F" w:rsidRPr="00E57412" w:rsidSect="00BB7BE0">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A43"/>
    <w:multiLevelType w:val="hybridMultilevel"/>
    <w:tmpl w:val="433A5E66"/>
    <w:lvl w:ilvl="0" w:tplc="BBEAAA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FD5C9C"/>
    <w:multiLevelType w:val="hybridMultilevel"/>
    <w:tmpl w:val="846A3E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52B506C"/>
    <w:multiLevelType w:val="hybridMultilevel"/>
    <w:tmpl w:val="4ABA551E"/>
    <w:lvl w:ilvl="0" w:tplc="CE6CA20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41"/>
    <w:rsid w:val="000012CF"/>
    <w:rsid w:val="000C082F"/>
    <w:rsid w:val="000D3E9E"/>
    <w:rsid w:val="001149D9"/>
    <w:rsid w:val="001150CA"/>
    <w:rsid w:val="00174A5F"/>
    <w:rsid w:val="00180A5A"/>
    <w:rsid w:val="001A20CB"/>
    <w:rsid w:val="001C559B"/>
    <w:rsid w:val="001D0589"/>
    <w:rsid w:val="001E1C93"/>
    <w:rsid w:val="002B5146"/>
    <w:rsid w:val="0030111B"/>
    <w:rsid w:val="0032147C"/>
    <w:rsid w:val="00346C6E"/>
    <w:rsid w:val="0039392E"/>
    <w:rsid w:val="0041270B"/>
    <w:rsid w:val="00486BA4"/>
    <w:rsid w:val="004907EC"/>
    <w:rsid w:val="00566C97"/>
    <w:rsid w:val="00571864"/>
    <w:rsid w:val="00584AB5"/>
    <w:rsid w:val="00591DC8"/>
    <w:rsid w:val="005A1716"/>
    <w:rsid w:val="005A211E"/>
    <w:rsid w:val="005B4C9F"/>
    <w:rsid w:val="005B70D9"/>
    <w:rsid w:val="005E1341"/>
    <w:rsid w:val="00615889"/>
    <w:rsid w:val="006518C3"/>
    <w:rsid w:val="006C6D2C"/>
    <w:rsid w:val="00705355"/>
    <w:rsid w:val="00705FAC"/>
    <w:rsid w:val="007669CB"/>
    <w:rsid w:val="007D24A5"/>
    <w:rsid w:val="008123A7"/>
    <w:rsid w:val="00845AAA"/>
    <w:rsid w:val="00887BD1"/>
    <w:rsid w:val="008B19E7"/>
    <w:rsid w:val="009141CE"/>
    <w:rsid w:val="00923A5A"/>
    <w:rsid w:val="00993BA9"/>
    <w:rsid w:val="009A026D"/>
    <w:rsid w:val="009A134F"/>
    <w:rsid w:val="009A4E5B"/>
    <w:rsid w:val="00A16DBF"/>
    <w:rsid w:val="00A2135B"/>
    <w:rsid w:val="00A37DE6"/>
    <w:rsid w:val="00A40C1D"/>
    <w:rsid w:val="00A430C7"/>
    <w:rsid w:val="00A5017C"/>
    <w:rsid w:val="00A647BC"/>
    <w:rsid w:val="00AC6B2B"/>
    <w:rsid w:val="00AE05E6"/>
    <w:rsid w:val="00B642DA"/>
    <w:rsid w:val="00B7060E"/>
    <w:rsid w:val="00B84C24"/>
    <w:rsid w:val="00BA660A"/>
    <w:rsid w:val="00BB5C9A"/>
    <w:rsid w:val="00BB7BE0"/>
    <w:rsid w:val="00BC15C6"/>
    <w:rsid w:val="00BC4F30"/>
    <w:rsid w:val="00CA7A77"/>
    <w:rsid w:val="00CB46AC"/>
    <w:rsid w:val="00D52E49"/>
    <w:rsid w:val="00E13B48"/>
    <w:rsid w:val="00E13F5E"/>
    <w:rsid w:val="00E57412"/>
    <w:rsid w:val="00E678F5"/>
    <w:rsid w:val="00EA6F2B"/>
    <w:rsid w:val="00EB2E5D"/>
    <w:rsid w:val="00ED5EC4"/>
    <w:rsid w:val="00F07187"/>
    <w:rsid w:val="00F13F32"/>
    <w:rsid w:val="00F43EF4"/>
    <w:rsid w:val="00F4646E"/>
    <w:rsid w:val="00F85B60"/>
    <w:rsid w:val="00F928D9"/>
    <w:rsid w:val="00FA3631"/>
    <w:rsid w:val="00FA722B"/>
    <w:rsid w:val="00FD7B72"/>
    <w:rsid w:val="00FE6370"/>
    <w:rsid w:val="00FE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13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34F"/>
    <w:pPr>
      <w:spacing w:after="0" w:line="240" w:lineRule="auto"/>
    </w:pPr>
    <w:rPr>
      <w:rFonts w:eastAsiaTheme="minorEastAsia"/>
      <w:lang w:eastAsia="ru-RU"/>
    </w:rPr>
  </w:style>
  <w:style w:type="character" w:customStyle="1" w:styleId="a4">
    <w:name w:val="Без интервала Знак"/>
    <w:basedOn w:val="a0"/>
    <w:link w:val="a3"/>
    <w:uiPriority w:val="1"/>
    <w:rsid w:val="009A134F"/>
    <w:rPr>
      <w:rFonts w:eastAsiaTheme="minorEastAsia"/>
      <w:lang w:eastAsia="ru-RU"/>
    </w:rPr>
  </w:style>
  <w:style w:type="character" w:customStyle="1" w:styleId="30">
    <w:name w:val="Заголовок 3 Знак"/>
    <w:basedOn w:val="a0"/>
    <w:link w:val="3"/>
    <w:uiPriority w:val="9"/>
    <w:rsid w:val="009A134F"/>
    <w:rPr>
      <w:rFonts w:ascii="Times New Roman" w:eastAsia="Times New Roman" w:hAnsi="Times New Roman" w:cs="Times New Roman"/>
      <w:b/>
      <w:bCs/>
      <w:sz w:val="27"/>
      <w:szCs w:val="27"/>
      <w:lang w:eastAsia="ru-RU"/>
    </w:rPr>
  </w:style>
  <w:style w:type="paragraph" w:styleId="a5">
    <w:name w:val="List Paragraph"/>
    <w:basedOn w:val="a"/>
    <w:uiPriority w:val="34"/>
    <w:qFormat/>
    <w:rsid w:val="009A134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A1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13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34F"/>
    <w:pPr>
      <w:spacing w:after="0" w:line="240" w:lineRule="auto"/>
    </w:pPr>
    <w:rPr>
      <w:rFonts w:eastAsiaTheme="minorEastAsia"/>
      <w:lang w:eastAsia="ru-RU"/>
    </w:rPr>
  </w:style>
  <w:style w:type="character" w:customStyle="1" w:styleId="a4">
    <w:name w:val="Без интервала Знак"/>
    <w:basedOn w:val="a0"/>
    <w:link w:val="a3"/>
    <w:uiPriority w:val="1"/>
    <w:rsid w:val="009A134F"/>
    <w:rPr>
      <w:rFonts w:eastAsiaTheme="minorEastAsia"/>
      <w:lang w:eastAsia="ru-RU"/>
    </w:rPr>
  </w:style>
  <w:style w:type="character" w:customStyle="1" w:styleId="30">
    <w:name w:val="Заголовок 3 Знак"/>
    <w:basedOn w:val="a0"/>
    <w:link w:val="3"/>
    <w:uiPriority w:val="9"/>
    <w:rsid w:val="009A134F"/>
    <w:rPr>
      <w:rFonts w:ascii="Times New Roman" w:eastAsia="Times New Roman" w:hAnsi="Times New Roman" w:cs="Times New Roman"/>
      <w:b/>
      <w:bCs/>
      <w:sz w:val="27"/>
      <w:szCs w:val="27"/>
      <w:lang w:eastAsia="ru-RU"/>
    </w:rPr>
  </w:style>
  <w:style w:type="paragraph" w:styleId="a5">
    <w:name w:val="List Paragraph"/>
    <w:basedOn w:val="a"/>
    <w:uiPriority w:val="34"/>
    <w:qFormat/>
    <w:rsid w:val="009A134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A1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Шопанова Бакытгул</dc:creator>
  <cp:keywords/>
  <dc:description/>
  <cp:lastModifiedBy>Оспанова Айнур</cp:lastModifiedBy>
  <cp:revision>119</cp:revision>
  <cp:lastPrinted>2023-01-26T11:49:00Z</cp:lastPrinted>
  <dcterms:created xsi:type="dcterms:W3CDTF">2023-01-10T06:57:00Z</dcterms:created>
  <dcterms:modified xsi:type="dcterms:W3CDTF">2023-01-26T11:56:00Z</dcterms:modified>
</cp:coreProperties>
</file>