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12AE" w14:textId="2E4DF43A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2B4F37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20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2B4F37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мая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CC3FD5F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управления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>внутренней</w:t>
      </w:r>
      <w:r w:rsidR="002B4F37" w:rsidRPr="002B4F37">
        <w:rPr>
          <w:rFonts w:ascii="Times New Roman" w:hAnsi="Times New Roman"/>
          <w:sz w:val="28"/>
          <w:szCs w:val="28"/>
        </w:rPr>
        <w:t xml:space="preserve"> </w:t>
      </w:r>
      <w:r w:rsidR="002B4F37">
        <w:rPr>
          <w:rFonts w:ascii="Times New Roman" w:hAnsi="Times New Roman"/>
          <w:sz w:val="28"/>
          <w:szCs w:val="28"/>
        </w:rPr>
        <w:t xml:space="preserve">политики </w:t>
      </w:r>
      <w:r w:rsidR="00AD254C">
        <w:rPr>
          <w:rFonts w:ascii="Times New Roman" w:hAnsi="Times New Roman"/>
          <w:sz w:val="28"/>
          <w:szCs w:val="28"/>
        </w:rPr>
        <w:t>А</w:t>
      </w:r>
      <w:r w:rsidR="002B4F37">
        <w:rPr>
          <w:rFonts w:ascii="Times New Roman" w:hAnsi="Times New Roman"/>
          <w:sz w:val="28"/>
          <w:szCs w:val="28"/>
        </w:rPr>
        <w:t xml:space="preserve">тырауской области </w:t>
      </w:r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254C">
        <w:rPr>
          <w:rFonts w:ascii="Times New Roman" w:hAnsi="Times New Roman"/>
          <w:sz w:val="28"/>
          <w:szCs w:val="28"/>
          <w:lang w:val="kk-KZ"/>
        </w:rPr>
        <w:t>Атырауской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9E9E0AF" w14:textId="77777777" w:rsidR="00AD254C" w:rsidRDefault="00AD254C" w:rsidP="00AD254C">
      <w:pPr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ПЛАН ПРЕДОСТАВЛЕНИЯ ГРАНТОВ ДЛЯ НЕПРАВИТЕЛЬСТВЕННЫХ ОРГАНИЗАЦИЙ УПРАВЛЕНИЯ ВНУТРЕННЕЙ ПОЛИТИКИ АТЫРАУСКОЙ ОБЛАСТИ</w:t>
      </w:r>
    </w:p>
    <w:p w14:paraId="2C5D7D01" w14:textId="77777777" w:rsidR="00AD254C" w:rsidRDefault="00AD254C" w:rsidP="00AD254C">
      <w:pPr>
        <w:spacing w:after="0"/>
        <w:jc w:val="center"/>
        <w:rPr>
          <w:rFonts w:ascii="Times New Roman" w:eastAsiaTheme="minorEastAsia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2022 ГОД</w:t>
      </w:r>
    </w:p>
    <w:p w14:paraId="19916AA1" w14:textId="77777777" w:rsidR="00AD254C" w:rsidRDefault="00AD254C" w:rsidP="00AD254C">
      <w:pPr>
        <w:spacing w:after="0"/>
        <w:rPr>
          <w:rFonts w:ascii="Times New Roman" w:hAnsi="Times New Roman"/>
        </w:rPr>
      </w:pPr>
    </w:p>
    <w:tbl>
      <w:tblPr>
        <w:tblStyle w:val="af0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2192"/>
        <w:gridCol w:w="2267"/>
        <w:gridCol w:w="4392"/>
        <w:gridCol w:w="1676"/>
        <w:gridCol w:w="1298"/>
        <w:gridCol w:w="1275"/>
        <w:gridCol w:w="2268"/>
      </w:tblGrid>
      <w:tr w:rsidR="00AD254C" w14:paraId="72880301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5F1A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1669F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Темы гранта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DD78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F1A3D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Обязанности (основные направления проекта)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613C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53B25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Территориальный охват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B006A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Объем выделенных средств, тыс. тенге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BB3A7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Ожидаемый результат от реализации проекта</w:t>
            </w:r>
          </w:p>
        </w:tc>
      </w:tr>
      <w:tr w:rsidR="00AD254C" w14:paraId="736419E4" w14:textId="77777777" w:rsidTr="00AD254C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8286F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Направление: содействие решению семейных демографических и гендерных проблем</w:t>
            </w:r>
          </w:p>
        </w:tc>
      </w:tr>
      <w:tr w:rsidR="00AD254C" w14:paraId="59D84AE3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22B6C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8C825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Комплекс мероприятий по укреплению института семьи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FB39" w14:textId="77777777" w:rsidR="00AD254C" w:rsidRDefault="00AD254C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укрепление позитивного образа семьи и брака и института семьи</w:t>
            </w:r>
          </w:p>
          <w:p w14:paraId="1F1C93FF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  <w:p w14:paraId="266672C2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D3D24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комплекса мероприятий по поддержке и развитию института отцовства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(3 мероприятие)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 Формирование пула из числа экспертов, спикеров, а также представителей образцовой семьи для привлечения к работе по реализации семейной политики; организация комплекса мероприятий по профилактике разводов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(3 мероприятие)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Проведение работы, направленной на активное вовлечение частного, корпоративного,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квазигосударственного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сектора в реализации программ и проектов по поддержке института семьи, развитию гендерного равенства Проведение областного слета отцов и сыновей и областного слета матерей и дочерей. Организовать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преддверии Дня семьи в Казахстане торжественную встречу семей, получивших свидетельства о браке, с владельцами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Күміс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той», «Алтын той», «Гаухар той»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5E8E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июль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-ноябрь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B2436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EF0E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5000,0</w:t>
            </w:r>
          </w:p>
          <w:p w14:paraId="07B7B1D9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2E896E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B1241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Укрепление института семьи. Повышение ответственности отца в семье, современные проблемы и перспективы развития института отца в вопросах семейного воспитания в Казахстане, усиление роли отца в воспитании сына в развитии общества</w:t>
            </w:r>
          </w:p>
        </w:tc>
      </w:tr>
      <w:tr w:rsidR="00AD254C" w14:paraId="0340A6B3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C94B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0327D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Комплекс мероприятий, направленных на продвижение гендерного равенства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DC300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уровня гендерного равенства, продвижение гендерной грамотности уделяет особое внимание расширению политических возможностей женщин и развитию женского лидерства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Чтобы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подняться выше по карьерной лестнице, необходимо повысить квалификацию этой категории женщин.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8576" w14:textId="77777777" w:rsidR="00AD254C" w:rsidRDefault="00AD254C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Формирование пула из числа экспертов, спикеров, а также представителей образцовой семьи для привлечения к работе по реализации гендерной политики Непрерывный мониторинг соблюдения равных прав и возможностей государственных служащих разного пола в карьерном росте и продвижении; организация школы женского лидерства; в школу должно быть охвачено не менее 60 человек; проведение не менее 6 обучающих мероприятий; на обучающие мероприятия необходимо пригласить известного спикера страны; для акимов сел и депутатов маслихатов на тему: 3 семинар-тренинга на тему «принципы комплексного гендерного подхода в социальной политике»; Обучение трудовым навыкам женщин, проживающих в сельской местности, и женщин из уязвимых слоев населения с целью их дальнейшей самореализации 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повышения экономических возможностей;</w:t>
            </w:r>
          </w:p>
          <w:p w14:paraId="58C2A4A8" w14:textId="77777777" w:rsidR="00AD254C" w:rsidRDefault="00AD254C">
            <w:pPr>
              <w:widowControl w:val="0"/>
              <w:tabs>
                <w:tab w:val="left" w:pos="1845"/>
              </w:tabs>
              <w:suppressAutoHyphens/>
              <w:spacing w:after="255" w:line="240" w:lineRule="auto"/>
              <w:ind w:firstLine="709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A1FD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lastRenderedPageBreak/>
              <w:t>июль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-ноябрь 2022 года</w:t>
            </w:r>
          </w:p>
          <w:p w14:paraId="5DDA4265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21494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C3D38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3000,0.</w:t>
            </w:r>
          </w:p>
          <w:p w14:paraId="54D563CF" w14:textId="77777777" w:rsidR="00AD254C" w:rsidRDefault="00AD25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2ED92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Повышению эффективности гендерной политики способствует тесное взаимодействие между структурами неправительственного сектора и государственными органами, направленное на популяризацию идеологии гендерного равенства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Определяется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уполномоченным органом, осуществляющим руководство и межотраслевую координацию в области гендерной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политики. Обеспечение в числе приоритетов государственной политики не менее 30% представительств женщин, участвующих в процессах принятия решений в исполнительных, представительных и судебных органах, государственном,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квазигосударственном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корпоративном секторах</w:t>
            </w:r>
          </w:p>
        </w:tc>
      </w:tr>
      <w:tr w:rsidR="00AD254C" w14:paraId="7A2B9977" w14:textId="77777777" w:rsidTr="00AD254C">
        <w:tc>
          <w:tcPr>
            <w:tcW w:w="158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DE64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Направление: защита прав, законных интересов граждан и организаций</w:t>
            </w:r>
          </w:p>
        </w:tc>
      </w:tr>
      <w:tr w:rsidR="00AD254C" w14:paraId="784B4FBC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B53BA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FD2E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комплекса мер по повышению правовой грамотности населения,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8BC3B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правовой грамотности населения, формирование правовой культуры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9FA34" w14:textId="77777777" w:rsidR="00AD254C" w:rsidRDefault="00AD254C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Через социальные сети в направлении развития правовой грамотности населения организация не менее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 мероприятий (конкурсы, видеоуроки и т.д.).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05D68" w14:textId="77777777" w:rsidR="00AD254C" w:rsidRDefault="00AD2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июль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-ноябрь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C2152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Атырауская область</w:t>
            </w:r>
          </w:p>
          <w:p w14:paraId="08C705A8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C0B7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3 000,0</w:t>
            </w:r>
          </w:p>
          <w:p w14:paraId="275E1FA6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F0DDBF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DC4E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Будет создан механизм эффективного сотрудничества между государством и гражданским обществом в области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правового просвещения</w:t>
            </w:r>
          </w:p>
        </w:tc>
      </w:tr>
      <w:tr w:rsidR="00AD254C" w14:paraId="177EDC67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ED05C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C5D60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Проведение комплекса мероприятий по формированию антикоррупционного сознания среди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6DA69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правовой грамотности молодежи по разъяснению Антикоррупционной стратегии РК</w:t>
            </w:r>
          </w:p>
          <w:p w14:paraId="6C9599E6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0FC1" w14:textId="77777777" w:rsidR="00AD254C" w:rsidRDefault="00AD254C">
            <w:pPr>
              <w:spacing w:after="0" w:line="288" w:lineRule="atLeast"/>
              <w:jc w:val="center"/>
              <w:rPr>
                <w:rFonts w:asciiTheme="minorHAnsi" w:hAnsiTheme="minorHAnsi" w:cstheme="minorBidi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Проведение конкурса среди студентов учебных заведений через социальную сеть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Tik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Tok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с целью предупреждения коррупции (участие не менее 50 лет). Изготовили спецодежду на сумму 10 тыс. и 20 тыс. тенге, раздали 2000 штук раздаточных материалов в местах массового скопления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молодежи 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 целях формирования антикоррупционной культуры среди молодежи, ее профилактики, внушения молодежи организовать через театральную сцену спектакль, отражающий последствия в случае допущения коррупции;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F3B0C" w14:textId="77777777" w:rsidR="00AD254C" w:rsidRDefault="00AD254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36B1" w14:textId="77777777" w:rsidR="00AD254C" w:rsidRDefault="00AD254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Атырауская область</w:t>
            </w:r>
          </w:p>
          <w:p w14:paraId="2973FD64" w14:textId="77777777" w:rsidR="00AD254C" w:rsidRDefault="00AD254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CBE0B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883D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антикоррупционной культуры среди молодежи.</w:t>
            </w:r>
          </w:p>
          <w:p w14:paraId="4AAE3046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D254C" w14:paraId="73446133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0F44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89837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Направление:</w:t>
            </w:r>
            <w:r>
              <w:rPr>
                <w:rFonts w:ascii="Times New Roman" w:hAnsi="Times New Roman"/>
                <w:b/>
                <w:bCs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 xml:space="preserve"> Поддержка молодежной политики и детских инициатив</w:t>
            </w:r>
          </w:p>
        </w:tc>
      </w:tr>
      <w:tr w:rsidR="00AD254C" w14:paraId="4D05073F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DEF6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3398A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Услуги по организации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конкурса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инновационных идей направленной на поддержку молодежных стартап проектов</w:t>
            </w:r>
          </w:p>
          <w:p w14:paraId="1423497D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6F888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Содействие в поддержке и реализации инновационных идей молодежи.</w:t>
            </w:r>
          </w:p>
          <w:p w14:paraId="7439551E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</w:p>
          <w:p w14:paraId="56834653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DC3AF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Организация 2-х дневного конкурса инновационных идей "Atyrau youth hackathon". Конкурс проводится по 4 направлениям (Наука, Искусство, Информационные технологии, экология, кино и др.). Привлечение не менее 3 спикеров республиканского уровня. Количество участников фестиваля должно быть не менее 100 чеовек;</w:t>
            </w:r>
          </w:p>
          <w:p w14:paraId="47B8C8C5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Участники фестиваля: старшеклассники, студенты, молодежь работающая в различных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сферах. Организовать масштабную рекламную работу в средствах массовой информации, на телеканалах и в популярных социальных сетях, на информационных порталах, в популярных пабликах, чтобы привлечь к конкурсу больше молодежи. Полноценный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обеспечение фестиваля фото и видеосъемкой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. С участием приглашенных спикеров организовать  в рамках конкурса интеллектуальную  конференцию Спикер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№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7. Награждение победителей по каждому направлению (дипломы, сертификаты, общий призовой фонд 3 млн.). В целях поддержки стартап-идей среди молодежи каждый участник фестиваля должен презентовать свои проекты, обсудить их и при поддержке спикеров разработать полноценный проект.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1040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Июль –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 xml:space="preserve"> 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B2332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1F4A2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8 700,0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2988E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Целью конкурса является выявление лучших проектов обеспечивающих устойчивое развитие экономики страны, повышение творческих способностей молодежи через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вовлечение в научно-инновационную деятельность, реализация государственной идеологии через интернет, содействие овладению молодежью новыми мультимедийными технологиями и приобщение к предпринимательству.</w:t>
            </w:r>
          </w:p>
          <w:p w14:paraId="52637825" w14:textId="77777777" w:rsidR="00AD254C" w:rsidRDefault="00AD254C">
            <w:pPr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В результате определить необходимые для региона проекты по каждому направлению.</w:t>
            </w:r>
          </w:p>
        </w:tc>
      </w:tr>
      <w:tr w:rsidR="00AD254C" w14:paraId="03F71C81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D3A0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95DD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kk-KZ"/>
              </w:rPr>
              <w:t xml:space="preserve">Услуги по реализации «Спорт. Өмір. Саулық» и проекта по повышению правовой грамотности </w:t>
            </w: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 xml:space="preserve">среди молодежи </w:t>
            </w:r>
            <w:r>
              <w:rPr>
                <w:rFonts w:ascii="Times New Roman" w:eastAsia="Calibri" w:hAnsi="Times New Roman"/>
                <w:b/>
                <w:i/>
                <w:color w:val="000000"/>
                <w:sz w:val="26"/>
                <w:szCs w:val="26"/>
                <w:lang w:val="kk-KZ"/>
              </w:rPr>
              <w:t>(профилактика суицида, СПИДа, наркомании и алкоголизма, зависимости от интернета и азартных игр среди молодежи, формирование здорового образа жизни)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418FA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Профилактика суицида, СПИДа, наркомании и алкоголизма, зависимости от интернета и азартных игр среди молодежи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EF28F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Организация областной спартакиады среди молодежи (6 видов спорта, 9 мероприятий); Обеспечение охвата в составе команд-участников Спартакиады молодежи из категории NEET и маргиналов, состоящей в списках пробации. Сделать специальный анонсовый видеоролик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и афишы о проведении Спартакиады, ротация в популярных социальных сетях 10 дней назад. Определение места проведения мероприятия, оформление (баннер, шары, трибуна для награждения победителей и т.д.). Награждение победителей дипломами, медалями, кубками и денежными призами занявших 1, 2, 3 мест областного уровня по итогам финала; общий призовой фонд 1 380 000 тенге. Изготовление сертификатов из материала ПВХ. Один раз в две недели организовать спортивных онлайн-тренировок через социальные сети с участием легкоатлетов региона.</w:t>
            </w:r>
          </w:p>
          <w:p w14:paraId="610C1337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Организация комплекса мероприятий в целях профилактики суицида среди молодежи. Организовать и провести учебно-практический семинар для психологов, педагогов области по профилактике суицида среди молодежи с привлечением профессионального психолога республиканского уровня (50 человек, 2 дня, 4 раза кофе-брейк, раздаточные материалы). Место проведения обеспечить необходимыми материалами.</w:t>
            </w:r>
          </w:p>
          <w:p w14:paraId="274A18D3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Организация мероприятий по профилактике зависимости к интернету и азартным играм. Организация и проведение 4 встречи (1 в городе 3 в районах) с привлечением известного спикера республикансого уровня (спикер по согласованию).</w:t>
            </w:r>
          </w:p>
          <w:p w14:paraId="60A71A16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Организовать съемку 3 видеоролика не более 1 минуты каждая в целях профилактики и предотвращения зависимости от интернета и азартных игр среди молодежи региона а так же ротация в социальных сетях (Facebook, Instagram, whats app, telegram, facebook и т.д.). Совместно с Департаментом внутренних дел с участием молодых активистов и лидеров организовывать не менее  10 рейдов  букмекерские конторы и игровые клубы. Организация комплекса совместных 25 мероприятий (акций, семинаров, встреч и т.д.) и онлайн/офлайн формате 15 интервью  специалистов центра здоровья молодежи с целью обеспечения взаимодействия с центрами здоровья молодежи региона. Организация мероприятий по профилактике употребления психоактивных веществ среди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молодежи. организация оказания консультационных услуг по сохранению репротективного здоровья среди молодежи. Создание 1-минутного анонсового видео-ролика и ротация в популярных социальных сетях. Создание не более 3-х минутны видео-роликов о каждом мероприятии. Внедрение новых подходов в военно-патриотическом воспитании и вовлечение молодежи в армию с использованием мультимедийного подхода и социальных сетей (youtube, Tik tok, Reels и др.). Маштабная  ротация в социальной сети 3 видеороликов (1 минута), направленных на профилактику наркомании среди молодежи.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AA1E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Июль –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F87E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BF16F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6 200,0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A0C50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Адаптация маргинальной молодежи и молодежи категории NEET в общество. Научить их формировать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здоровый образ жизни. Профилактика суицидов среди молодежи через повышение квалификации специалистов-психологов. Содейстовать к уменшению числа молодых людей с азартными играми.</w:t>
            </w:r>
          </w:p>
        </w:tc>
      </w:tr>
      <w:tr w:rsidR="00AD254C" w14:paraId="555B994F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D2042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B61F0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kk-KZ"/>
              </w:rPr>
              <w:t>Услуги по реализации направленной на развитие студенческого самоуправления и волонтерского движения.</w:t>
            </w:r>
          </w:p>
          <w:p w14:paraId="7809057B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442F6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Развитие студенческого самоуправления в вузах и организациях ТиПО.Развитие интереса молодежи к волонтерской деятельности</w:t>
            </w:r>
          </w:p>
          <w:p w14:paraId="432993D6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</w:p>
          <w:p w14:paraId="2D19429F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DAB59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Определить количество волонтеров, волонтерских организации, волонтерских групп, лидеров волонтерских движении и создания базы данных волонтеров и волонтерских организации. Полноценная реализация общенациональных проектов: «Birgemiz: Bilim», «Birgemiz: Saylyq», «Birgemiz: Taza Qazaqstan», «Birgemiz: Asyl mura», «Birgemiz: Qamqor», «Birgemiz: Umit», «Birgemiz: Sabaqtastyq», «Birgemiz: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Медиа-волонтерлік», «Birgemiz: Ayala». Организация 5 мероприятий для волонтеров (тимбилдинг, тренинг, для обмена опытом волонтеров и др.). Организовать обучение по 5 человек (студенты 1-2 курсов) от каждого учебного заведения по одному человеку от каждого района по каждому направлению с привлечением республиканского сертифицированного тренера по волонтерскому направлению. Сертифицированным волонтерам необходимо обучать 10 волонтеров в своих учебных заведениях.  "Birgemiz: Bilim" 1 встреча, 2 обучающие, 1 интеллектуальная игра, 1 научно-познавательная экскурсия. «Birgemiz: Saylyq» 1 встреча, 2 мерроприятие, 1акция, 1 обучения (обучение проводит специальный сертифицированный специалист). "Birgemiz: Taza Qazaqstan" 2 акции по чистке (памятники в г. Атырау, набережная Урала), 1акция по сортировке бытовых отходов, акция по посадке 1 дерево (с последующим содержанием), 1 видеоролик по экономии водопользования. «Birgemiz: Asyl mura" 1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 xml:space="preserve">экспедиционный тур, проведение рабоиы по чистке в 3-х различных сокральных местах, 1 археологические работы. "Birgemiz: Qamqor" 2 мероприятия в доме престарелых, по 2 мероприятия в домах не менее 10 одиноких престарелых людей, 1 акция. «Birgemiz: Umit» 1 практическая работа, 1 встреча, 1 обучение/тренинг по поиску пропавших людей  (не менее 20 человек), 2 акции. «Birgemiz: Sabaqtastyq» обучение воспитанников детского дома дополнительным кружкам (5 различных кружков). «Birgemiz: Медиа-волонтерство» подготовка 5 видеороликов с привлечением медиа волонтеров на мероприятия, проводимые в рамках общенационального проекта  «Birgemiz». «Birgemiz: Ayala" проведение 5 акций. Организация взаимодействия со всеми отраслевыми учреждениями и организациями в рамках реализации общенационального проекта волонтеров «Birgemiz». Общее количество мероприятий: не менее 50. Мероприятии должны проводиться на добровольной и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безвозмездной основе с привлечением потенциала волонтеров. При необходимости обеспечить волонтеров необходимыми материалами, инструментами, гигиеническими принадлежностями. Обеспечить видео/ фотофиксацию проделанной работы в рамках проекта и публикацию в областных, республиканских СМИ, популярных социальных сетях о работе волонтерского движения с хэштегами #Birgemiz #VolunteerAtyrau2022. Изготовление имиджевой продукции с логотипом «#VolunteerAtyrau»: ветровки, футболки, дождевики, бейсболки, многоразовые маски (по 100 шт.). Организация заключительного молодежного волонтерского форума. Награждения лучших волонтеров по не менее 10 номинациям (памятные подарки, цветы, статуэтки и т.д.). Оформление места проведения. волонтерской деятельности; Изготовление и ротация 2-х минутного ролика о волонтерской деятельности.</w:t>
            </w:r>
          </w:p>
          <w:p w14:paraId="36434A27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Ролик должен содержать информацию о единой национальной платформе. Организация работы по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поддержке студенческой молодежи в общественной деятельности и студенческих инициатив, направленных на реализацию интересов студентов и решение важных вопросов, развитие социальной активности студентов (привлечение студентов ВУЗов и организаций ТиПО Атырауской области). Создание единой структуры студенческого самоуправления в организациях образования по области.</w:t>
            </w:r>
          </w:p>
          <w:p w14:paraId="4E808552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Создание базы данных активной молодежи с каждого учебного заведения; Составление календарного графика студенческих мероприятий, проводимых на территории области. Работа со студентами, обучающимися по программе "Мәңгілік ел жастары-индустрияға! "Серпін-2050":  формирование списка молодежи-участников программы, вовлечение в круглогодичные мероприятия. Постоянный контроль по актуальным проблемам студентов, постоянный мониторинг и организация 2 анкетирования в студенческой среде; Согласовать темы и вопросов анкетирования.</w:t>
            </w:r>
          </w:p>
          <w:p w14:paraId="33877BBF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Регистрация и постоянный мониторинг студентов-участников проекта, создание электронной базы данных об участниках проекта. Обеспечение организации работы на постоянной основк не менее 3 тематических студенческих клубов (например: English speaking club, читательский клуб, клуб спортсменов и др.).  Выработка предложений по повышению качества воспитательной и культурно-просветительской работы в ВУЗ-х с учетом профессиональных интересов студентов. Организация и проведение областного конкурса «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Students</w:t>
            </w:r>
            <w:r w:rsidRPr="00AD254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Adwards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» и «Осенний бал " среди студентов ВУЗ-ов и ТиПО в весенний и осенний период 2022 года:</w:t>
            </w:r>
          </w:p>
          <w:p w14:paraId="6FA329DF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Разработка правил конкурса. Обеспечение места проведения конкурса световым, звуковым и музыкальным оборудованием (звукоусилитель, музыкальная аппаратура, LED экран, микрофоны и др.). Оформление места проведения конкурса. Награждение победителей (статуэтки, дипломы, цветы и др.).</w:t>
            </w:r>
          </w:p>
          <w:p w14:paraId="618A47E5" w14:textId="77777777" w:rsidR="00AD254C" w:rsidRDefault="00AD254C">
            <w:pPr>
              <w:tabs>
                <w:tab w:val="left" w:pos="382"/>
              </w:tabs>
              <w:spacing w:after="255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В целях формирования здорового образа жизни среди молодежи </w:t>
            </w: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lastRenderedPageBreak/>
              <w:t>организовать областную спартакиаду по 6 видам спорта среди студентов ВУЗ-ов и тТиПО (Общий призовой фонд - 1 800 000 тг.).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0E03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lastRenderedPageBreak/>
              <w:t>Июль-ноябрь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3932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9FE2C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9 100,0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88AA4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kk-KZ"/>
              </w:rPr>
              <w:t>Реализация проекта развития студенческого самоуправления в вузах и организациях ТиПО.</w:t>
            </w:r>
          </w:p>
        </w:tc>
      </w:tr>
      <w:tr w:rsidR="00AD254C" w14:paraId="758CFB74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3C79" w14:textId="77777777" w:rsidR="00AD254C" w:rsidRDefault="00AD25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53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C073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вление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: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Укрепление общественного согласия и общенационального единства</w:t>
            </w:r>
          </w:p>
        </w:tc>
      </w:tr>
      <w:tr w:rsidR="00AD254C" w14:paraId="784FB375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77EC3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CECA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гражданской идентичности среди представителей этнокультурных объединений,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EDF5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комплекса мероприятий по направлению "Формирование общегражданской идентичности" для сотрудников государственных органов, работающих в межэтнической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сфере  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активистов АНК области с привлечением специалистов в сфере государственной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этнополитики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089ED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не менее 5 методических семинаров на тему: «Опыт формирования общегражданской идентичности» (согласование кандидатуры тренера с заказчиком);</w:t>
            </w:r>
          </w:p>
          <w:p w14:paraId="42080C3C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не менее 5 тренингов для молодежи с привлечением сертифицированных тренеров на тему «Межэтническая коммуникация и культура толерантности»;</w:t>
            </w:r>
          </w:p>
          <w:p w14:paraId="49CA2A0B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проектов Концепции, состава участников программы, сценария мероприятий, пресс-релизов и др. материалов;</w:t>
            </w:r>
          </w:p>
          <w:p w14:paraId="6BBBD670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проектов концепции, программы, состава участников, сценария мероприятий, пресс-релизов и др. материалов;</w:t>
            </w:r>
          </w:p>
          <w:p w14:paraId="201E7CDA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Возмещение командировочных расходов приглашенных спикеров (питание, квартира, проезд), а также оплаты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приглашенных специалистов по согласованию с приглашаемой стороны. Выделение транспортных средств для приглашенных специалистов;</w:t>
            </w:r>
          </w:p>
          <w:p w14:paraId="4CA87BE7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семинаров-тренингов, тренингов, мастер-классов в помещении вместимостью не менее 80 человек (по согласованию с заказчиком);</w:t>
            </w:r>
          </w:p>
          <w:p w14:paraId="76A63C69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необходимым оборудованием учебных семинаров, тренингов, мастер-классов (звуковое оборудование, микрофон, проектор, ручки,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флипчаты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маркеры и т.д.);</w:t>
            </w:r>
          </w:p>
          <w:p w14:paraId="62686CC5" w14:textId="77777777" w:rsidR="00AD254C" w:rsidRDefault="00AD254C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участие не менее 25 человек в каждом семинаре-тренинге, тренинге, мастер-классе;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выдачи сертификатов участникам учебных семинаров, тренингов, мастер-классов со специальным дизайном формата А4 (текст, количество и дизайн сертификата по согласованию с заказчиком);</w:t>
            </w:r>
          </w:p>
          <w:p w14:paraId="5B21BFAB" w14:textId="77777777" w:rsidR="00AD254C" w:rsidRDefault="00AD254C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звуковым оборудованием (микрофон,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усилитель звука, консоль микшера), а также ЛЕД-экраном, ноутбуком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флипчартом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C2F7DC" w14:textId="77777777" w:rsidR="00AD254C" w:rsidRDefault="00AD254C">
            <w:pPr>
              <w:shd w:val="clear" w:color="auto" w:fill="FBFBF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участников семинаров-тренингов, тренингов, мастер-классов кофе-брейками (по согласованию с заказчиком).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B8C9D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июль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E26C6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Атырауская область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3532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FB301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укрепление общегражданских ценностей казахстанской идентичности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среди  представителей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этнокультурных объединений.</w:t>
            </w:r>
          </w:p>
          <w:p w14:paraId="30A3004F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общегражданских ценностей, казахстанского патриотизма и межэтнического согласия среди представителей различных этнических групп и молодежи</w:t>
            </w:r>
          </w:p>
        </w:tc>
      </w:tr>
      <w:tr w:rsidR="00AD254C" w14:paraId="2B6B6962" w14:textId="77777777" w:rsidTr="00AD254C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48AC3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2D09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val="kk-KZ"/>
              </w:rPr>
            </w:pPr>
            <w:r w:rsidRPr="00AD254C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Общее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9612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2EA5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lang w:val="kk-KZ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3E64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A62FD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4386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D254C">
              <w:rPr>
                <w:rFonts w:ascii="Times New Roman" w:hAnsi="Times New Roman"/>
                <w:sz w:val="26"/>
                <w:szCs w:val="26"/>
                <w:lang w:val="kk-KZ"/>
              </w:rPr>
              <w:t>40 000,0</w:t>
            </w:r>
          </w:p>
          <w:p w14:paraId="1F9F4DB0" w14:textId="77777777" w:rsidR="00AD254C" w:rsidRP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422E4" w14:textId="77777777" w:rsidR="00AD254C" w:rsidRDefault="00AD25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06BB2D9F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AD254C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МАЯ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1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6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0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1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1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2C25B2">
        <w:rPr>
          <w:rFonts w:ascii="Times New Roman" w:hAnsi="Times New Roman"/>
          <w:color w:val="000000"/>
          <w:sz w:val="28"/>
          <w:szCs w:val="28"/>
        </w:rPr>
        <w:t>egov</w:t>
      </w:r>
      <w:proofErr w:type="spellEnd"/>
      <w:r w:rsidRPr="002C25B2">
        <w:rPr>
          <w:rFonts w:ascii="Times New Roman" w:hAnsi="Times New Roman"/>
          <w:color w:val="000000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lastRenderedPageBreak/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2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438E44FC" w14:textId="7625E3B0" w:rsidR="00574382" w:rsidRDefault="006D56BE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7"/>
                <w:sz w:val="30"/>
                <w:szCs w:val="30"/>
              </w:rPr>
              <w:t>8 (717) 279 08 74</w:t>
            </w:r>
            <w:r>
              <w:rPr>
                <w:rStyle w:val="af7"/>
                <w:sz w:val="30"/>
                <w:szCs w:val="30"/>
              </w:rPr>
              <w:t xml:space="preserve"> </w:t>
            </w:r>
            <w:bookmarkStart w:id="3" w:name="_GoBack"/>
            <w:bookmarkEnd w:id="3"/>
            <w:r w:rsidR="00C76D0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C76D0A">
              <w:rPr>
                <w:rFonts w:ascii="Times New Roman" w:hAnsi="Times New Roman"/>
                <w:sz w:val="28"/>
                <w:szCs w:val="28"/>
              </w:rPr>
              <w:t>Аубакирова</w:t>
            </w:r>
            <w:proofErr w:type="spellEnd"/>
            <w:r w:rsidR="00C76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D0A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="00C76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4A093C" w14:textId="77777777" w:rsidR="00121213" w:rsidRDefault="00121213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1A5C86" w14:textId="4AC35B31" w:rsidR="006314A7" w:rsidRPr="0007400B" w:rsidRDefault="006314A7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2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29F558F1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6590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C76D0A">
        <w:rPr>
          <w:rFonts w:ascii="Times New Roman" w:hAnsi="Times New Roman"/>
          <w:sz w:val="28"/>
          <w:szCs w:val="28"/>
          <w:lang w:val="kk-KZ"/>
        </w:rPr>
        <w:t xml:space="preserve">руководителя </w:t>
      </w:r>
      <w:r w:rsidR="002C5DA0">
        <w:rPr>
          <w:rFonts w:ascii="Times New Roman" w:hAnsi="Times New Roman"/>
          <w:sz w:val="28"/>
          <w:szCs w:val="28"/>
        </w:rPr>
        <w:t xml:space="preserve">«Управление </w:t>
      </w:r>
      <w:r w:rsidR="00C76D0A">
        <w:rPr>
          <w:rFonts w:ascii="Times New Roman" w:hAnsi="Times New Roman"/>
          <w:sz w:val="28"/>
          <w:szCs w:val="28"/>
          <w:lang w:val="kk-KZ"/>
        </w:rPr>
        <w:t>внутренней политики Атырауской</w:t>
      </w:r>
      <w:r w:rsidR="002C5DA0">
        <w:rPr>
          <w:rFonts w:ascii="Times New Roman" w:hAnsi="Times New Roman"/>
          <w:sz w:val="28"/>
          <w:szCs w:val="28"/>
        </w:rPr>
        <w:t xml:space="preserve"> области»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17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марта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32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о/д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57923C60" w:rsidR="00866378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bookmarkStart w:id="6" w:name="_Hlk96340032"/>
      <w:bookmarkEnd w:id="4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B53690">
        <w:rPr>
          <w:rFonts w:ascii="Times New Roman" w:hAnsi="Times New Roman"/>
          <w:sz w:val="28"/>
          <w:szCs w:val="28"/>
          <w:lang w:val="kk-KZ"/>
        </w:rPr>
        <w:t>Атырауской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537B19">
        <w:rPr>
          <w:rFonts w:ascii="Times New Roman" w:hAnsi="Times New Roman"/>
          <w:sz w:val="28"/>
          <w:szCs w:val="28"/>
          <w:lang w:val="kk-KZ"/>
        </w:rPr>
        <w:t>Управления внутреннй политики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537B19">
        <w:rPr>
          <w:rFonts w:ascii="Times New Roman" w:hAnsi="Times New Roman"/>
          <w:sz w:val="28"/>
          <w:szCs w:val="28"/>
          <w:lang w:val="kk-KZ"/>
        </w:rPr>
        <w:t>Атырауской</w:t>
      </w:r>
      <w:r w:rsidR="00F81D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proofErr w:type="gramEnd"/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7" w:name="_Hlk103865937"/>
      <w:bookmarkStart w:id="8" w:name="_Hlk96338446"/>
      <w:r w:rsidR="00121213">
        <w:rPr>
          <w:rFonts w:ascii="Times New Roman" w:hAnsi="Times New Roman"/>
          <w:sz w:val="28"/>
          <w:szCs w:val="28"/>
        </w:rPr>
        <w:fldChar w:fldCharType="begin"/>
      </w:r>
      <w:r w:rsidR="00121213">
        <w:rPr>
          <w:rFonts w:ascii="Times New Roman" w:hAnsi="Times New Roman"/>
          <w:sz w:val="28"/>
          <w:szCs w:val="28"/>
        </w:rPr>
        <w:instrText xml:space="preserve"> HYPERLINK "</w:instrText>
      </w:r>
      <w:r w:rsidR="00121213" w:rsidRPr="00537B19">
        <w:rPr>
          <w:rFonts w:ascii="Times New Roman" w:hAnsi="Times New Roman"/>
          <w:sz w:val="28"/>
          <w:szCs w:val="28"/>
        </w:rPr>
        <w:instrText>https://www.gov.kz/memleket/entities/atyrau-sayasat/documents/details/281564?directionId=9980&amp;lang=ru</w:instrText>
      </w:r>
      <w:r w:rsidR="00121213">
        <w:rPr>
          <w:rFonts w:ascii="Times New Roman" w:hAnsi="Times New Roman"/>
          <w:sz w:val="28"/>
          <w:szCs w:val="28"/>
        </w:rPr>
        <w:instrText xml:space="preserve">" </w:instrText>
      </w:r>
      <w:r w:rsidR="00121213">
        <w:rPr>
          <w:rFonts w:ascii="Times New Roman" w:hAnsi="Times New Roman"/>
          <w:sz w:val="28"/>
          <w:szCs w:val="28"/>
        </w:rPr>
        <w:fldChar w:fldCharType="separate"/>
      </w:r>
      <w:r w:rsidR="00121213" w:rsidRPr="00345BC2">
        <w:rPr>
          <w:rStyle w:val="a4"/>
          <w:rFonts w:ascii="Times New Roman" w:hAnsi="Times New Roman"/>
          <w:sz w:val="28"/>
          <w:szCs w:val="28"/>
        </w:rPr>
        <w:t>https://www.gov.kz/memleket/entities/atyrau-sayasat/documents/details/281564?directionId=9980&amp;lang=ru</w:t>
      </w:r>
      <w:r w:rsidR="00121213">
        <w:rPr>
          <w:rFonts w:ascii="Times New Roman" w:hAnsi="Times New Roman"/>
          <w:sz w:val="28"/>
          <w:szCs w:val="28"/>
        </w:rPr>
        <w:fldChar w:fldCharType="end"/>
      </w:r>
      <w:r w:rsidR="00537B19">
        <w:rPr>
          <w:rFonts w:ascii="Times New Roman" w:hAnsi="Times New Roman"/>
          <w:sz w:val="28"/>
          <w:szCs w:val="28"/>
          <w:lang w:val="kk-KZ"/>
        </w:rPr>
        <w:t>.</w:t>
      </w:r>
      <w:bookmarkEnd w:id="7"/>
    </w:p>
    <w:p w14:paraId="5310AF1E" w14:textId="77777777" w:rsidR="00121213" w:rsidRPr="00537B19" w:rsidRDefault="00121213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bookmarkEnd w:id="5"/>
    <w:bookmarkEnd w:id="6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8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9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z994"/>
      <w:bookmarkEnd w:id="9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z995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z996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997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8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4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1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9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20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821"/>
            <w:bookmarkEnd w:id="1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2" w:name="z834"/>
      <w:bookmarkEnd w:id="21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35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z836"/>
            <w:bookmarkEnd w:id="2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9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2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2"/>
      <w:bookmarkEnd w:id="3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883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z894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95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02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12"/>
            <w:bookmarkEnd w:id="46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7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927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46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53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5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969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8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13FF" w14:textId="77777777" w:rsidR="001875C0" w:rsidRDefault="001875C0" w:rsidP="00FB6300">
      <w:pPr>
        <w:spacing w:after="0" w:line="240" w:lineRule="auto"/>
      </w:pPr>
      <w:r>
        <w:separator/>
      </w:r>
    </w:p>
  </w:endnote>
  <w:endnote w:type="continuationSeparator" w:id="0">
    <w:p w14:paraId="4A418D6F" w14:textId="77777777" w:rsidR="001875C0" w:rsidRDefault="001875C0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A808" w14:textId="77777777" w:rsidR="001875C0" w:rsidRDefault="001875C0" w:rsidP="00FB6300">
      <w:pPr>
        <w:spacing w:after="0" w:line="240" w:lineRule="auto"/>
      </w:pPr>
      <w:r>
        <w:separator/>
      </w:r>
    </w:p>
  </w:footnote>
  <w:footnote w:type="continuationSeparator" w:id="0">
    <w:p w14:paraId="7BF5B703" w14:textId="77777777" w:rsidR="001875C0" w:rsidRDefault="001875C0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4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18"/>
  </w:num>
  <w:num w:numId="32">
    <w:abstractNumId w:val="23"/>
  </w:num>
  <w:num w:numId="33">
    <w:abstractNumId w:val="3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5C0"/>
    <w:rsid w:val="00187BC7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D56BE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D254C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1996"/>
    <w:rsid w:val="00C3372D"/>
    <w:rsid w:val="00C419DB"/>
    <w:rsid w:val="00C52BEF"/>
    <w:rsid w:val="00C54949"/>
    <w:rsid w:val="00C61C2F"/>
    <w:rsid w:val="00C62951"/>
    <w:rsid w:val="00C701F6"/>
    <w:rsid w:val="00C76D0A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064AA"/>
    <w:rsid w:val="00D1136E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9D4"/>
    <w:rsid w:val="00FB59DD"/>
    <w:rsid w:val="00FB6300"/>
    <w:rsid w:val="00FD1FFD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C511-23B9-4BDA-BA1A-E9DC1354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37655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9</cp:revision>
  <cp:lastPrinted>2020-12-28T03:43:00Z</cp:lastPrinted>
  <dcterms:created xsi:type="dcterms:W3CDTF">2022-05-19T07:29:00Z</dcterms:created>
  <dcterms:modified xsi:type="dcterms:W3CDTF">2022-05-20T06:25:00Z</dcterms:modified>
</cp:coreProperties>
</file>