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AA" w:rsidRPr="00602AF7" w:rsidRDefault="009548AA" w:rsidP="009548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bookmarkStart w:id="0" w:name="_Hlk93812382"/>
      <w:r w:rsidRPr="00602AF7">
        <w:rPr>
          <w:rFonts w:ascii="Times New Roman" w:hAnsi="Times New Roman"/>
          <w:sz w:val="24"/>
          <w:szCs w:val="24"/>
          <w:lang w:val="kk-KZ"/>
        </w:rPr>
        <w:t xml:space="preserve">8-қосымша </w:t>
      </w:r>
    </w:p>
    <w:p w:rsidR="009548AA" w:rsidRPr="00602AF7" w:rsidRDefault="009548AA" w:rsidP="009548A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9548AA" w:rsidRPr="0064737D" w:rsidRDefault="009548AA" w:rsidP="0064737D">
      <w:pPr>
        <w:pStyle w:val="3"/>
        <w:shd w:val="clear" w:color="auto" w:fill="FFFFFF"/>
        <w:spacing w:before="0" w:after="0" w:line="390" w:lineRule="atLeast"/>
        <w:jc w:val="center"/>
        <w:textAlignment w:val="baseline"/>
        <w:rPr>
          <w:rFonts w:ascii="Times New Roman" w:hAnsi="Times New Roman"/>
          <w:sz w:val="24"/>
          <w:szCs w:val="24"/>
          <w:lang w:val="kk-KZ"/>
        </w:rPr>
      </w:pPr>
      <w:r w:rsidRPr="00602AF7">
        <w:rPr>
          <w:rFonts w:ascii="Times New Roman" w:hAnsi="Times New Roman"/>
          <w:sz w:val="24"/>
          <w:szCs w:val="24"/>
          <w:lang w:val="kk-KZ"/>
        </w:rPr>
        <w:t>Ұсынылатын әлеуметтік жоба және (немесе) әлеуметтік бағдарламаның мазмұны</w:t>
      </w:r>
    </w:p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602AF7">
        <w:rPr>
          <w:spacing w:val="2"/>
          <w:lang w:val="kk-KZ"/>
        </w:rPr>
        <w:t>      1. Әлеуметтік жоба және (немесе) әлеуметтік бағдарлама туралы негізгі ақпарат.</w:t>
      </w:r>
    </w:p>
    <w:tbl>
      <w:tblPr>
        <w:tblW w:w="1048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6804"/>
      </w:tblGrid>
      <w:tr w:rsidR="00602AF7" w:rsidRPr="0064737D" w:rsidTr="009548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Әлеуметтік жобаның және (немесе) әлеуметтік бағдарламаның мақсаты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893759">
            <w:pPr>
              <w:tabs>
                <w:tab w:val="left" w:pos="192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мемлекеттік тілдің қолданыс аясын кеңейту, тіл мәдениетін көтеру;</w:t>
            </w:r>
          </w:p>
          <w:p w:rsidR="009548AA" w:rsidRPr="00602AF7" w:rsidRDefault="009548AA" w:rsidP="00893759">
            <w:pPr>
              <w:tabs>
                <w:tab w:val="left" w:pos="206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көркем әдебиет пен көсемсөз жанрын жандандыру;</w:t>
            </w:r>
          </w:p>
          <w:p w:rsidR="009548AA" w:rsidRPr="00602AF7" w:rsidRDefault="009548AA" w:rsidP="00893759">
            <w:pPr>
              <w:tabs>
                <w:tab w:val="left" w:pos="165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өзіндік жазу өрнегі бар жазушыларды, көсемсөз шеберлерін және этно-мәдеи тақырыбында зерттеу жасап жүрген жас этнографтарды анықтау;</w:t>
            </w:r>
          </w:p>
          <w:p w:rsidR="009548AA" w:rsidRPr="00602AF7" w:rsidRDefault="009548AA" w:rsidP="00893759">
            <w:pPr>
              <w:tabs>
                <w:tab w:val="left" w:pos="17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шығармашылығымен танылып жүрген жастарға қолдау көрсету;</w:t>
            </w:r>
          </w:p>
          <w:p w:rsidR="009548AA" w:rsidRPr="00602AF7" w:rsidRDefault="009548AA" w:rsidP="00893759">
            <w:pPr>
              <w:tabs>
                <w:tab w:val="left" w:pos="17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ұлы дала тарихы мен мәдениеті, ұлттық салт-дәстүр, ұлттық болмыс мәселелеріне арналған шығармаларды насихаттау.</w:t>
            </w:r>
          </w:p>
        </w:tc>
      </w:tr>
      <w:tr w:rsidR="00602AF7" w:rsidRPr="0064737D" w:rsidTr="009548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Әлеуметтік жобаның және (немесе) әлеуметтік бағдарламаның міндеттері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37D" w:rsidRDefault="0064737D" w:rsidP="00893759">
            <w:pPr>
              <w:tabs>
                <w:tab w:val="left" w:pos="19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- </w:t>
            </w:r>
            <w:r w:rsidRPr="0064737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Мемлекеттік тілдің қолданыс аясын кеңейту, тіл мәдениетін жетілдіру, көркем әдебиет пен публицистика жанрын жаңғырту, өзін-өзі танытатын жас қаламгерлерді, журналистиканың майталмандарын анықтау, шығармашыл жастарды қолдау</w:t>
            </w:r>
          </w:p>
          <w:p w:rsidR="009548AA" w:rsidRPr="00602AF7" w:rsidRDefault="009548AA" w:rsidP="00893759">
            <w:pPr>
              <w:tabs>
                <w:tab w:val="left" w:pos="19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ab/>
              <w:t xml:space="preserve">байқауды 20 – 35 жастағы үміткерлердің арасында өткізу; </w:t>
            </w:r>
          </w:p>
          <w:p w:rsidR="009548AA" w:rsidRPr="00602AF7" w:rsidRDefault="009548AA" w:rsidP="00893759">
            <w:pPr>
              <w:tabs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ab/>
              <w:t>ұсынылған шығармалардың көркемдік сапасының жоғары болуы</w:t>
            </w:r>
          </w:p>
          <w:p w:rsidR="009548AA" w:rsidRPr="00602AF7" w:rsidRDefault="009548AA" w:rsidP="00893759">
            <w:pPr>
              <w:tabs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ab/>
              <w:t>ісшараны жоғары деңгейде ұйымдастыру;</w:t>
            </w:r>
          </w:p>
          <w:p w:rsidR="009548AA" w:rsidRPr="00602AF7" w:rsidRDefault="009548AA" w:rsidP="00893759">
            <w:pPr>
              <w:tabs>
                <w:tab w:val="left" w:pos="16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ab/>
              <w:t>белгіленген мерзімде өткізу</w:t>
            </w:r>
          </w:p>
        </w:tc>
      </w:tr>
      <w:tr w:rsidR="00602AF7" w:rsidRPr="0064737D" w:rsidTr="009548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Ұсынылатын іс-шаралар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48AA" w:rsidRPr="00602AF7" w:rsidRDefault="009548AA" w:rsidP="002D3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Жобаны іске асыру шеңберінде Қазақстан Республикасының </w:t>
            </w:r>
            <w:r w:rsidR="00BC3FFE"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облыстары мен </w:t>
            </w:r>
            <w:r w:rsidR="00BC3FFE" w:rsidRPr="00602AF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BFBFB"/>
                <w:lang w:val="kk-KZ"/>
              </w:rPr>
              <w:t>республикалық</w:t>
            </w:r>
            <w:r w:rsidR="00BC3FFE" w:rsidRPr="00602AF7">
              <w:rPr>
                <w:rFonts w:ascii="Times New Roman" w:hAnsi="Times New Roman"/>
                <w:sz w:val="24"/>
                <w:szCs w:val="24"/>
                <w:shd w:val="clear" w:color="auto" w:fill="FBFBFB"/>
                <w:lang w:val="kk-KZ"/>
              </w:rPr>
              <w:t> маңызы бар</w:t>
            </w:r>
            <w:r w:rsidR="00BC3FFE"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қалаларынан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"Ақселеу Сейдімбек атындағы жас жазушылар, көсемсөз шеберлері мен этнографтардың республика</w:t>
            </w:r>
            <w:r w:rsidR="00BC3FFE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лық әдеби-шығармашылық байқауына 60 адам қатысады деп жоспарлануда.</w:t>
            </w:r>
          </w:p>
          <w:p w:rsidR="009548AA" w:rsidRPr="00602AF7" w:rsidRDefault="009548AA" w:rsidP="002D39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№1 іс-шара: </w:t>
            </w:r>
            <w:r w:rsidR="00461B71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Ақселеу Сейдімбек атындағы жас жазушылар, көсемсөз шеберлері мен этнографтардың республикалық әдеби-шығармашылық байқауын</w:t>
            </w:r>
            <w:r w:rsidR="005C1AD4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 w:rsidR="00461B71"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ережесі</w:t>
            </w:r>
            <w:r w:rsidR="005C1AD4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461B71"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БАҚ беттерінде және әлеуметтік желіде жариялау</w:t>
            </w:r>
          </w:p>
          <w:p w:rsidR="00461B71" w:rsidRPr="00602AF7" w:rsidRDefault="009548AA" w:rsidP="0064737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№2 іс-шара: </w:t>
            </w:r>
            <w:r w:rsidR="00461B71"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Ақселеу Сейдімбек атындағы жас жазушылар, көсемсөз шеберлері мен этнографтардың республикалық әдеби-шығармашылық байқауына үміткерлердің өтініштерін қабылдау. Онлайн форматта </w:t>
            </w:r>
          </w:p>
          <w:p w:rsidR="00461B71" w:rsidRPr="00602AF7" w:rsidRDefault="009548AA" w:rsidP="0046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№3 іс-шара: </w:t>
            </w:r>
            <w:r w:rsidR="00461B71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Байқау жұмыстарын алдын-ала сараптап, жүлдегерлерді анықтау.</w:t>
            </w:r>
          </w:p>
          <w:p w:rsidR="009548AA" w:rsidRPr="00602AF7" w:rsidRDefault="00461B71" w:rsidP="00461B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Қазылар алқасы отырысын өткізу.</w:t>
            </w:r>
          </w:p>
          <w:p w:rsidR="009548AA" w:rsidRPr="0064737D" w:rsidRDefault="009548AA" w:rsidP="002D39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№4  іс-шара:  </w:t>
            </w:r>
            <w:r w:rsidR="00461B71" w:rsidRPr="00602AF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kk-KZ"/>
              </w:rPr>
              <w:t xml:space="preserve">Ақселеу Сейдімбек атындағы жас жазушылар мен көсемсөз шеберлерінің дәстүрлі республикалық әдеби-шығармашылық байқау </w:t>
            </w:r>
            <w:r w:rsidR="005C1AD4" w:rsidRPr="00602AF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kk-KZ"/>
              </w:rPr>
              <w:t>жүлдегерлерін марапаттау рәсімін</w:t>
            </w:r>
            <w:r w:rsidR="00461B71" w:rsidRPr="00602AF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kk-KZ"/>
              </w:rPr>
              <w:t xml:space="preserve"> өткізу</w:t>
            </w:r>
          </w:p>
        </w:tc>
      </w:tr>
      <w:tr w:rsidR="00602AF7" w:rsidRPr="00602AF7" w:rsidTr="009548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Аумақтық қамтылуы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Қазақстан республикасы, Қарағанды облысы</w:t>
            </w:r>
          </w:p>
        </w:tc>
      </w:tr>
      <w:tr w:rsidR="00602AF7" w:rsidRPr="00602AF7" w:rsidTr="009548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Мақсатты топтар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20-35 жас аралығындағы мақсатты топ </w:t>
            </w:r>
          </w:p>
        </w:tc>
      </w:tr>
      <w:tr w:rsidR="00602AF7" w:rsidRPr="00602AF7" w:rsidTr="009548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Күтілетін нәтижелер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C1AD4" w:rsidRPr="00602AF7" w:rsidRDefault="009548AA" w:rsidP="002D398D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тіл саясатының оң имиджі қалыптастыру</w:t>
            </w:r>
          </w:p>
          <w:p w:rsidR="005C1AD4" w:rsidRPr="00602AF7" w:rsidRDefault="009548AA" w:rsidP="002D398D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Жас қаламгерлерді қолдау.</w:t>
            </w:r>
          </w:p>
          <w:p w:rsidR="005C1AD4" w:rsidRPr="00602AF7" w:rsidRDefault="009548AA" w:rsidP="002D398D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Ақселеу Сейдімбек мұрасы насихаттау</w:t>
            </w:r>
          </w:p>
          <w:p w:rsidR="005C1AD4" w:rsidRPr="00602AF7" w:rsidRDefault="005C1AD4" w:rsidP="002D398D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9548AA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емлекеттік тілдің қолданыс аясын кеңейту, облыс тұрғындарының тіл мәдениетін көтеру;</w:t>
            </w:r>
          </w:p>
          <w:p w:rsidR="005C1AD4" w:rsidRPr="00602AF7" w:rsidRDefault="005C1AD4" w:rsidP="002D398D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9548AA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өркем проза пен көсемсөз жанрын жандандыру;</w:t>
            </w:r>
          </w:p>
          <w:p w:rsidR="005C1AD4" w:rsidRPr="00602AF7" w:rsidRDefault="005C1AD4" w:rsidP="002D398D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="009548AA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зіндік жазу өрнегі бар жас жазушыларды, көсемсөз шеберлерін анықтау;</w:t>
            </w:r>
          </w:p>
          <w:p w:rsidR="005C1AD4" w:rsidRPr="00602AF7" w:rsidRDefault="005C1AD4" w:rsidP="002D398D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9548AA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ығармашылығымен танылып жүрген жастарға қолдау көрсету;</w:t>
            </w:r>
          </w:p>
          <w:p w:rsidR="005C1AD4" w:rsidRPr="00602AF7" w:rsidRDefault="005C1AD4" w:rsidP="005C1AD4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="009548AA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лы дала тарихы мен мәдениеті, ұлттық салт-дәстүр, ұлттық болмыс мәселелеріне арналған шығармаларды насихаттау.</w:t>
            </w:r>
          </w:p>
          <w:p w:rsidR="005C1AD4" w:rsidRPr="00602AF7" w:rsidRDefault="005C1AD4" w:rsidP="005C1AD4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Халықтың қалың тобы  арасында жобаны (электрондық және баспа БАҚ, әлеуметтік желілер) ілгерілету бойынша таргетинг жүргізу </w:t>
            </w:r>
          </w:p>
          <w:p w:rsidR="005C1AD4" w:rsidRPr="00602AF7" w:rsidRDefault="005C1AD4" w:rsidP="002D398D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Ақпаратпен қамту: 1 миллион адам</w:t>
            </w:r>
          </w:p>
        </w:tc>
      </w:tr>
    </w:tbl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602AF7">
        <w:rPr>
          <w:spacing w:val="2"/>
          <w:lang w:val="kk-KZ"/>
        </w:rPr>
        <w:lastRenderedPageBreak/>
        <w:t>      2. Әлеуметтік жоба және (немесе) әлеуметтік бағдарламаны жүзеге асырудың негіздемесі.</w:t>
      </w:r>
    </w:p>
    <w:tbl>
      <w:tblPr>
        <w:tblW w:w="105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6884"/>
      </w:tblGrid>
      <w:tr w:rsidR="00602AF7" w:rsidRPr="0064737D" w:rsidTr="009548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Әлеуметтік жоба және (немесе) әлеуметтік бағдарлама бағытталған мәселелер бойынша ағымдағы жағдайдың сипаттамасы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F733EC" w:rsidP="00381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Қазіргі кезеңде жаһандық тұтастану жеделдей түсті. Ақпараттар ағынының екпіні күшейді. Ұлттың болмысын таны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softHyphen/>
              <w:t>тар нышандарды сақтаудың өзі қай ха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softHyphen/>
              <w:t xml:space="preserve">лық үшін де қиын сынға айналып отыр. Сан ғасырлық тарихымызда ұлт көзінің қарашығындай қорғалып, ұрпақтан-ұрпаққа аманатталып келе жатқан қазақ жұртының </w:t>
            </w:r>
            <w:r w:rsidR="000A6606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сөз мәдениеті мен тіл көркемдігін насихаттау кезек күттірмес мәселе. 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Ұлтты, ұлттың пішіні мен мазмұнын сақтаудың басты кри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softHyphen/>
              <w:t>те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softHyphen/>
              <w:t>рийлерінен саналар бұл ұғымдарды қор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softHyphen/>
              <w:t>ғау</w:t>
            </w:r>
            <w:r w:rsidR="000A6606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, оны алғы күндерге жеткізу, қазақ тілінің қолданыс аясын кеңейту - 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үлкен міндет.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Қазіргі Жаңа Қазақстан жағдайы</w:t>
            </w:r>
            <w:r w:rsidR="000A6606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н</w:t>
            </w:r>
            <w:r w:rsidR="000A6606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softHyphen/>
              <w:t>дағы шығармашыл жастардың рөлін арттыру, ұ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лт әдебиетінің өр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softHyphen/>
              <w:t>кен жаяр үлгісі мен үрдісі</w:t>
            </w:r>
            <w:r w:rsidR="000A6606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нің даму бағытына үлес қосу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A6606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заман талабы. </w:t>
            </w:r>
            <w:r w:rsidR="009548AA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Жастар-халықтың ең ұйымдасқан, әлеуметтік белсенді топтарының бірі, олар жаңа идеялардың генераторы, өмірлік күші мен энергиясы. Жастар елдің болашағы ғана емес, бұл оның бүгіні.</w:t>
            </w:r>
            <w:r w:rsidR="00381EA9"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548AA"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Парламенті Мәжілісінің отырысында Қасым-Жомарт Тоқаев үкімет үшін </w:t>
            </w:r>
            <w:r w:rsidR="00E1632D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548AA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дарынды жастар мемлекеттен тиісті қолдау алуы тиіс екенін</w:t>
            </w:r>
            <w:r w:rsidR="00E1632D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9548AA"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атап өтті.</w:t>
            </w:r>
          </w:p>
          <w:p w:rsidR="009548AA" w:rsidRPr="00602AF7" w:rsidRDefault="00F91E3F" w:rsidP="00A57B8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Республикалық деңгейде өтетін Ақселеу Сейдімбек атындағы жас жазушылар мен көсемсөз шеберлерінің дәстүрлі  әдеби-шығармашылық байқауы </w:t>
            </w:r>
            <w:r w:rsidR="00A57B8D"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жастардың шығармашылық потенциалын жүзеге асыруға,  </w:t>
            </w:r>
            <w:r w:rsidR="00381EA9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тіл мәдениетін көтеру</w:t>
            </w:r>
            <w:r w:rsidR="00A57B8D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ге</w:t>
            </w:r>
            <w:r w:rsidR="00381EA9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, көркем әдебиет пен көсемсөз жанрын жандандыр</w:t>
            </w:r>
            <w:r w:rsidR="00A57B8D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уға серпіліс берері сөзсіз.</w:t>
            </w:r>
          </w:p>
        </w:tc>
      </w:tr>
      <w:tr w:rsidR="00602AF7" w:rsidRPr="0064737D" w:rsidTr="009548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Статистикалық деректерге және (немесе) зерттеу деректеріне, соның ішінде өз зерттеулеріне сілтеме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874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ҚР Статистика комитетінің деректеріне сәйкес 2020 жылдың соңында жастар саны шамамен 3765,4 мың адамды құрады, яғни халықтың төрттен бір бөлігінен сәл аз. Олардың шамамен 43,6%  қалалық емес, өңірлік жастар, яғни ауылдардан,  шағын 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қалалардан, негізінен қазақ тілді жастар. Біздің ойымызша, бұл қазіргі ж</w:t>
            </w:r>
            <w:r w:rsidR="00A57B8D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астардың демографиялық портреті. Сондықтан жастардың әлеуметтік белсенділігі мен азаматтық сана-сезімін дамыту </w:t>
            </w:r>
            <w:r w:rsidR="0087406C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бағытындағы жұмыстарды күшейту, олардың шығармашылық әлеуетін арттыруға мүмкіндік жасау  қажет.Ұсынылған жобада бұл міндеттер негізге алынған.</w:t>
            </w:r>
          </w:p>
        </w:tc>
      </w:tr>
      <w:tr w:rsidR="00602AF7" w:rsidRPr="0064737D" w:rsidTr="009548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lastRenderedPageBreak/>
              <w:t>Мақсатты топтың қажеттіліктерін анықтау бойынша жұмыс туралы ақпарат (қажеттіліктерді бағалау)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406C" w:rsidRPr="00602AF7" w:rsidRDefault="0087406C" w:rsidP="002D398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2AF7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Мақсатты топтың қажеттілігі:</w:t>
            </w:r>
          </w:p>
          <w:p w:rsidR="0087406C" w:rsidRPr="00602AF7" w:rsidRDefault="0087406C" w:rsidP="0087406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Пандемия</w:t>
            </w:r>
            <w:r w:rsidR="007C7FD9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лық жағдайда тоқырап қалған 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C7FD9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шығармашылықты дамыту қажеттілігі.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87406C" w:rsidRPr="00602AF7" w:rsidRDefault="007C7FD9" w:rsidP="0087406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Шығармашыл орта қажеттілігі.</w:t>
            </w:r>
          </w:p>
          <w:p w:rsidR="007C7FD9" w:rsidRPr="00602AF7" w:rsidRDefault="007C7FD9" w:rsidP="0087406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Тәжірибе алмасу қажеттілігі.</w:t>
            </w:r>
          </w:p>
          <w:p w:rsidR="007C7FD9" w:rsidRPr="00602AF7" w:rsidRDefault="007C7FD9" w:rsidP="0087406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Шығармашылығының деңгейін анықтау қажеттілігі.</w:t>
            </w:r>
          </w:p>
          <w:p w:rsidR="007C7FD9" w:rsidRPr="00602AF7" w:rsidRDefault="007C7FD9" w:rsidP="0087406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Шығармашылық әлеуетін арттыру қажеттілігі.</w:t>
            </w:r>
          </w:p>
          <w:p w:rsidR="007C7FD9" w:rsidRPr="00602AF7" w:rsidRDefault="007C7FD9" w:rsidP="0087406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Шығармашылықты материалды қолдау қажеттілігі.</w:t>
            </w:r>
          </w:p>
          <w:p w:rsidR="007C7FD9" w:rsidRPr="00602AF7" w:rsidRDefault="007C7FD9" w:rsidP="00602AF7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Кәсіби мамандармен пікір алмасу қажеттілігі.</w:t>
            </w:r>
          </w:p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Осыған сүй</w:t>
            </w:r>
            <w:r w:rsidR="007C7FD9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ене отырып, бұл жобадағы 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мақс</w:t>
            </w:r>
            <w:r w:rsidR="007C7FD9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атты топтың қажеттілігін «</w:t>
            </w:r>
            <w:r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өте жоғары</w:t>
            </w:r>
            <w:r w:rsidR="007C7FD9" w:rsidRPr="00602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 деп бағалауға болады.</w:t>
            </w:r>
          </w:p>
        </w:tc>
      </w:tr>
    </w:tbl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602AF7">
        <w:rPr>
          <w:spacing w:val="2"/>
          <w:lang w:val="kk-KZ"/>
        </w:rPr>
        <w:t>      3. Мақсатты топтар (әлеуметтік жобаны және (немесе) әлеуметтік бағдарламаны іске асырудан пайда алатын кімдер).</w:t>
      </w:r>
    </w:p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602AF7">
        <w:rPr>
          <w:spacing w:val="2"/>
          <w:lang w:val="kk-KZ"/>
        </w:rPr>
        <w:t>      Әлеуметтік жобаны және (немесе) әлеуметтік бағдарламаны жоспарлау және іске асыру үрдісіне мақсатты топ өкілдерінің қатысуы сипатталады.</w:t>
      </w:r>
    </w:p>
    <w:tbl>
      <w:tblPr>
        <w:tblW w:w="1048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1154"/>
        <w:gridCol w:w="992"/>
        <w:gridCol w:w="5381"/>
      </w:tblGrid>
      <w:tr w:rsidR="00602AF7" w:rsidRPr="00602AF7" w:rsidTr="00893759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Мақсатты топ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Саны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Жасы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Мақсатты топтың алатын пайдасы</w:t>
            </w:r>
          </w:p>
        </w:tc>
      </w:tr>
      <w:tr w:rsidR="00602AF7" w:rsidRPr="0064737D" w:rsidTr="00893759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балалар, оқушылар, студенттер, жұмыс істейтін жастар (көрермендерді қоса алғанда)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15-40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- қазақ тілінің мәртебесін көтеру;</w:t>
            </w:r>
          </w:p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- қазақ тілін үйренуге ынталандыру;</w:t>
            </w:r>
          </w:p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-өзінің маңыздылығын сезіну, мәдени, қоғамдық өмірдің белсенді қатысушысы болу;</w:t>
            </w:r>
          </w:p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жауапкершілікке, еңбекқорлыққа, көшбасшылық пен ұйымдастырушылық дағдыларға бағытталған жеке қасиеттерді дамыту; </w:t>
            </w:r>
          </w:p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жастар мен жасөспірімдердің азаматтық белсенділігі мен санасын күшейту және танымдық іс - әрекетке ынталандыру; </w:t>
            </w:r>
          </w:p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- жан-жақты шығармашылық қабілеттер мен зияткерлік әлеуетті дамыту-патриотизм сезімін қалыптастырып, дамыту;</w:t>
            </w:r>
          </w:p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- жас таланттарды қолдау үшін атмосфера мен жағдай жасау;</w:t>
            </w:r>
          </w:p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-Мемлекеттік тілдің қолданыс аясын кеңейту.</w:t>
            </w:r>
          </w:p>
        </w:tc>
      </w:tr>
      <w:tr w:rsidR="00602AF7" w:rsidRPr="0064737D" w:rsidTr="00893759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желі қолданушылары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2 млн. адамнан астам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14-65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48AA" w:rsidRPr="00602AF7" w:rsidRDefault="009548AA" w:rsidP="002D3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Барлық жастағы мемлекеттік тілге деген сезімді арттыру</w:t>
            </w:r>
          </w:p>
          <w:p w:rsidR="009548AA" w:rsidRPr="00602AF7" w:rsidRDefault="009548AA" w:rsidP="002D3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602AF7">
        <w:rPr>
          <w:spacing w:val="2"/>
          <w:lang w:val="kk-KZ"/>
        </w:rPr>
        <w:t>      4. Әлеуметтік жоба және (немесе) әлеуметтік бағдарлама серіктестері мен мүдделі тараптар.</w:t>
      </w:r>
    </w:p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602AF7">
        <w:rPr>
          <w:spacing w:val="2"/>
          <w:lang w:val="kk-KZ"/>
        </w:rPr>
        <w:t xml:space="preserve">      Әлеуметтік жоба және (немесе) әлеуметтік бағдарламаның барлық серіктестері мен мүдделі тараптар тізіліп (мысалы, мемлекеттік органдар, үкіметтік емес ұйымдар, бизнес саласының өкілдері, БАҚ өкілдері, халықаралық ұйымдар және т.б.) олардың әлеуметтік </w:t>
      </w:r>
      <w:r w:rsidRPr="00602AF7">
        <w:rPr>
          <w:spacing w:val="2"/>
          <w:lang w:val="kk-KZ"/>
        </w:rPr>
        <w:lastRenderedPageBreak/>
        <w:t>жоба және (немесе) әлеуметтік бағдарламаға қатысуы, сондай-ақ қолдау түрлері (ақпараттық, кеңес беру) баяндалады.</w:t>
      </w:r>
    </w:p>
    <w:tbl>
      <w:tblPr>
        <w:tblW w:w="1048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7"/>
        <w:gridCol w:w="3198"/>
      </w:tblGrid>
      <w:tr w:rsidR="00602AF7" w:rsidRPr="0064737D" w:rsidTr="00954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Серіктестің, мүдделі тараптың атауы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Қатысу түрі мен нақты бағыты</w:t>
            </w:r>
          </w:p>
        </w:tc>
      </w:tr>
      <w:tr w:rsidR="00602AF7" w:rsidRPr="00602AF7" w:rsidTr="00954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4F5DAC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eastAsia="en-US"/>
              </w:rPr>
            </w:pPr>
            <w:r w:rsidRPr="00602AF7">
              <w:rPr>
                <w:lang w:val="kk-KZ" w:eastAsia="en-US"/>
              </w:rPr>
              <w:t>ИП «</w:t>
            </w:r>
            <w:r w:rsidRPr="00602AF7">
              <w:rPr>
                <w:lang w:val="en-US" w:eastAsia="en-US"/>
              </w:rPr>
              <w:t>LIDER</w:t>
            </w:r>
            <w:r w:rsidRPr="00602AF7">
              <w:rPr>
                <w:lang w:val="kk-KZ" w:eastAsia="en-US"/>
              </w:rPr>
              <w:t>»</w:t>
            </w:r>
            <w:r w:rsidRPr="00602AF7">
              <w:rPr>
                <w:lang w:val="en-US" w:eastAsia="en-US"/>
              </w:rPr>
              <w:t xml:space="preserve"> </w:t>
            </w:r>
            <w:r w:rsidRPr="00602AF7">
              <w:rPr>
                <w:lang w:eastAsia="en-US"/>
              </w:rPr>
              <w:t>баспаханасы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EC6DED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Баспа жабдықтарын шығару</w:t>
            </w:r>
          </w:p>
        </w:tc>
      </w:tr>
      <w:tr w:rsidR="00602AF7" w:rsidRPr="00602AF7" w:rsidTr="00954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155A94" w:rsidRDefault="00155A94" w:rsidP="00155A94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155A94">
              <w:rPr>
                <w:bCs/>
                <w:lang w:val="kk-KZ" w:eastAsia="en-US"/>
              </w:rPr>
              <w:t xml:space="preserve">РМОО </w:t>
            </w:r>
            <w:r w:rsidRPr="00155A94">
              <w:rPr>
                <w:bCs/>
                <w:lang w:eastAsia="en-US"/>
              </w:rPr>
              <w:t>«Союз КВН Казахстана»</w:t>
            </w:r>
            <w:r w:rsidR="00EC6DED" w:rsidRPr="00155A94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lang w:val="kk-KZ" w:eastAsia="en-US"/>
              </w:rPr>
              <w:t>Ақпараттық қолдау</w:t>
            </w:r>
          </w:p>
        </w:tc>
      </w:tr>
    </w:tbl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602AF7">
        <w:rPr>
          <w:spacing w:val="2"/>
          <w:lang w:val="kk-KZ"/>
        </w:rPr>
        <w:t>      5. Әлеуметтік жоба және (немесе) әлеуметтік бағдарлама бойынша сұраныс берушімен кері байланыс.</w:t>
      </w:r>
    </w:p>
    <w:tbl>
      <w:tblPr>
        <w:tblW w:w="1048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99"/>
      </w:tblGrid>
      <w:tr w:rsidR="00602AF7" w:rsidRPr="0064737D" w:rsidTr="00954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Мақсатты топтың атауы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Мақсатты топтың қанағаттану деңгейі қалай өлшенеді</w:t>
            </w:r>
          </w:p>
        </w:tc>
      </w:tr>
      <w:tr w:rsidR="00602AF7" w:rsidRPr="0064737D" w:rsidTr="009548AA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балалар, оқушылар, студенттер, жұмыс істейтін жастар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Жоба шеңберінде әрбір іс-шарадан кейін нысаналы топпен/жобаның тікелей қатысушыларымен сауалнама жүргізу және пікірлер мен ұсыныстар парақтарын толтыру, нысаналы топтың жобаға қанағаттану деңгейі өлшенетін әлеуметтік желілерде пікірлер/талқылаулар арқылы кері байланыс қамтамасыз етіледі.</w:t>
            </w:r>
          </w:p>
        </w:tc>
      </w:tr>
    </w:tbl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602AF7">
        <w:rPr>
          <w:spacing w:val="2"/>
          <w:lang w:val="kk-KZ"/>
        </w:rPr>
        <w:t>6. Әлеуметтік жоба және (немесе) әлеуметтік бағдарламаның жүзеге асырылуына мониторинг жасау жоспары.</w:t>
      </w:r>
    </w:p>
    <w:tbl>
      <w:tblPr>
        <w:tblW w:w="1048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2027"/>
        <w:gridCol w:w="2179"/>
        <w:gridCol w:w="2815"/>
        <w:gridCol w:w="1640"/>
      </w:tblGrid>
      <w:tr w:rsidR="00602AF7" w:rsidRPr="00602AF7" w:rsidTr="00D578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Міндет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Іс-шара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Қысқа мерзімді және ұзақ мерзімді нәтижелер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Индикаторлар (қысқа мерзімді және ұзақ мерзімді нәтижелерге)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Өлшеу жиілігі</w:t>
            </w:r>
          </w:p>
        </w:tc>
      </w:tr>
      <w:tr w:rsidR="00602AF7" w:rsidRPr="00602AF7" w:rsidTr="00D5783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38EB" w:rsidRPr="00602AF7" w:rsidRDefault="00D5783D" w:rsidP="00D578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Ақселеу Сейдімбек атындағы жас жазушылар мен көсемсөз шеберлерінің дәстүрлі республикалық әдеби-шығармашылық байқауын өткізу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№1 іс-шара: </w:t>
            </w:r>
          </w:p>
          <w:p w:rsidR="004838EB" w:rsidRPr="00602AF7" w:rsidRDefault="004838EB" w:rsidP="005F0C44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Іс-шараларды жүзеге асыру үшін жұмыс тобын құру.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Жобаны жүзеге асыру үшін жұмыс тобы құрылды</w:t>
            </w:r>
          </w:p>
          <w:p w:rsidR="004838EB" w:rsidRPr="00602AF7" w:rsidRDefault="004838EB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4838EB" w:rsidP="004F5DAC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Кемінде  5 адамнан тұратын жұмыс тобы құрылды</w:t>
            </w:r>
          </w:p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38EB" w:rsidRPr="00602AF7" w:rsidRDefault="00D5783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Байқауға 1 ай қалғанда</w:t>
            </w:r>
          </w:p>
        </w:tc>
      </w:tr>
      <w:tr w:rsidR="00602AF7" w:rsidRPr="0064737D" w:rsidTr="00D5783D">
        <w:trPr>
          <w:trHeight w:val="29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№2 іс-шара: 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Жобаны ақпараттық қамтамасыз етуді ұйымдастыру. Іс-шараның басталуы туралы жарияланым</w:t>
            </w:r>
          </w:p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Жобаның басталуы туралы ақпарат мемлекеттік және орыс тілдерінде облыстық газет беттерінде жарияланды. </w:t>
            </w:r>
          </w:p>
          <w:p w:rsidR="004838EB" w:rsidRPr="00602AF7" w:rsidRDefault="005F0C44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500 000 адамнан астам ақпараттық қамту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Жарияланымдар саны – 5.</w:t>
            </w:r>
          </w:p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Ақпараттық науқанды әзірлеу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Байқау ережесі</w:t>
            </w:r>
          </w:p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БАҚ-тың электрондық және баспа басылымдарын тарта отырып</w:t>
            </w:r>
          </w:p>
          <w:p w:rsidR="004838EB" w:rsidRPr="00602AF7" w:rsidRDefault="005F0C44" w:rsidP="004F5DAC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Таргетинг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5F0C44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Ай сайын іс-шараларды өткізу фактісі бойынша, жоба барысында</w:t>
            </w:r>
          </w:p>
        </w:tc>
      </w:tr>
      <w:tr w:rsidR="00602AF7" w:rsidRPr="00602AF7" w:rsidTr="00D5783D">
        <w:trPr>
          <w:trHeight w:val="29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№3 іс-шара: Байқауды өткізу үшін орынды қамтамасыз ету.</w:t>
            </w:r>
          </w:p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Байқаудық өтетін орны анықталды. </w:t>
            </w:r>
          </w:p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Қарағанды қаласында техникалық құралдармен және арнайы құралдармен, оның ішінде кәсіби музыкалық аппаратурамен және микрофондармен жабдықталған кемінде 200 орындық зал қарастырылды.</w:t>
            </w:r>
          </w:p>
          <w:p w:rsidR="004838EB" w:rsidRPr="00602AF7" w:rsidRDefault="004838EB" w:rsidP="004F5DAC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D5783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Байқауға 1 ай қалғанда</w:t>
            </w:r>
          </w:p>
        </w:tc>
      </w:tr>
      <w:tr w:rsidR="00602AF7" w:rsidRPr="0064737D" w:rsidTr="00D5783D">
        <w:trPr>
          <w:trHeight w:val="29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№4 іс-шара: </w:t>
            </w:r>
          </w:p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Іс-шара өткізу залын қажетті құрал-жабдықтармен қамтамасыз ету.</w:t>
            </w:r>
          </w:p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Іс-шара залы арнайы </w:t>
            </w:r>
            <w:r w:rsidRPr="00602AF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қажетті құрал-жабдықтармен қамтамасыз етілді</w:t>
            </w: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Іс-шара залы арнайы жарықтандыру, дыбыс күшейткіш және осы жабдықпен жұмыс істеу үшін мамандарды тарта отырып, көрме жабдықтарымен қамтамасыз етілді.</w:t>
            </w:r>
          </w:p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Іс-шараға арналған техникалық, көрмелік және жарық пен дыбысты күшейтетін жабдықтың тізбесі, саны және сапалық сипаттамалары келісіледі.</w:t>
            </w:r>
          </w:p>
          <w:p w:rsidR="004838EB" w:rsidRPr="00602AF7" w:rsidRDefault="004838EB" w:rsidP="004F5DAC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D5783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Ай сайын іс-шараларды өткізу фактісі бойынша, жоба барысында</w:t>
            </w:r>
          </w:p>
        </w:tc>
      </w:tr>
      <w:tr w:rsidR="00602AF7" w:rsidRPr="0064737D" w:rsidTr="00D5783D">
        <w:trPr>
          <w:trHeight w:val="10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№5 іс-шара: Баспа өнімдерін үйлестіру және өндіру, дипломдарға жақтауларды сатып алу.</w:t>
            </w:r>
          </w:p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Баспа өнімдері үйлестіріліп шығарылды, дипломдарға жақтаулар сатып алынды.</w:t>
            </w:r>
          </w:p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 баннер (көлемі 3м * 6м), </w:t>
            </w:r>
          </w:p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10 – дипломдар (рамкадағы А4 форматы), 40 – алғыс хаттар (қатысушылар үшін), </w:t>
            </w:r>
          </w:p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7 – ақша сертификаттары мен шақыру билеттері – 30. </w:t>
            </w:r>
          </w:p>
          <w:p w:rsidR="004838EB" w:rsidRPr="00602AF7" w:rsidRDefault="005F0C44" w:rsidP="004F5DAC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Дипломдарға арналған жақтаулар – пластикалық материал (ағашқа ұқсас) , шыны , А4 өлшемі, қара жаңғақ түсі.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D5783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Ай сайын іс-шараларды өткізу фактісі бойынша, жоба барысында</w:t>
            </w:r>
          </w:p>
        </w:tc>
      </w:tr>
      <w:tr w:rsidR="00602AF7" w:rsidRPr="00602AF7" w:rsidTr="00D5783D">
        <w:trPr>
          <w:trHeight w:val="12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№6 іс-шара:</w:t>
            </w:r>
          </w:p>
          <w:p w:rsidR="004838EB" w:rsidRPr="00602AF7" w:rsidRDefault="005F0C44" w:rsidP="002D39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Залды баннермен безендіру 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Зал баннермен безендірілді</w:t>
            </w:r>
          </w:p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Көлемі 3*6 баннер - 1 </w:t>
            </w:r>
          </w:p>
          <w:p w:rsidR="004838EB" w:rsidRPr="00602AF7" w:rsidRDefault="004838EB" w:rsidP="004F5DAC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D5783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жоба барысында</w:t>
            </w:r>
          </w:p>
        </w:tc>
      </w:tr>
      <w:tr w:rsidR="00602AF7" w:rsidRPr="0064737D" w:rsidTr="00D5783D">
        <w:trPr>
          <w:trHeight w:val="25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№7 іс-шара:</w:t>
            </w:r>
          </w:p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Байқауға қатысушыларды ұйымдастыру және қатысуын қамтамасыз ету</w:t>
            </w:r>
          </w:p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Байқауға қатысушылар ұйымдастырылды және қамтамасыз етілді</w:t>
            </w:r>
          </w:p>
          <w:p w:rsidR="004838EB" w:rsidRPr="00602AF7" w:rsidRDefault="004838EB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5F0C44" w:rsidP="004F5DAC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Байқауға республикалық, облыстық және қалалық, аудандық ұйымдардың, жоғары оқу орындарының және т.б. өкілдерінен 40-тан астам адам ұйымдастырылып, қатысушылармен қамтамасыз етілді.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38EB" w:rsidRPr="00602AF7" w:rsidRDefault="00D5783D" w:rsidP="00D578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 сайын іс-шараларды өткізу фактісі бойынша, </w:t>
            </w:r>
          </w:p>
        </w:tc>
      </w:tr>
      <w:tr w:rsidR="00602AF7" w:rsidRPr="0064737D" w:rsidTr="00D5783D">
        <w:trPr>
          <w:trHeight w:val="29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№8 іс-шара:</w:t>
            </w:r>
          </w:p>
          <w:p w:rsidR="005F0C44" w:rsidRPr="00602AF7" w:rsidRDefault="005F0C44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Фото және видео түсіруді ұйымдастыру.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DB083A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Фотографтың камерамен жұмысы ұйымдастырылған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5F0C44" w:rsidP="00DB083A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61 нүктелі автофокусы бар толық кадрлы SLR 22,3 мегапиксельді камера.</w:t>
            </w:r>
            <w:r w:rsidR="00DB083A"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</w:t>
            </w: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ортативті электронды тасымалдағышта 500-ден астам кадр және 2 данада дискідегі 200-ден астам кад</w:t>
            </w:r>
            <w:r w:rsidR="00DB083A"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р. және жұмыстың бейнеоператоры. </w:t>
            </w: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2,5, 2 ТБ, Store Jet 25H3B, USB 3.0 қатты дискісінде бекітілген түрде ұсынылды. 1/3-дюймдік CCD сенсорларымен сандық HDV форматында бейне жазу. Өңдеу бастапқы файлдарды бастапқы R3D немесе DNG пішіміне түрлендірусіз жасалды. Алдын ала қарауға арналған материалдардың көшірмелері 2 данадағы сыйымдылығы кемінде 4,7 ГБ DVD-R форматындағы бір жақты бір қабатты DVD дискілерінде беріледі.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0C44" w:rsidRPr="00602AF7" w:rsidRDefault="00D5783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Ай сайын іс-шараларды өткізу фактісі бойынша, жоба барысында</w:t>
            </w:r>
          </w:p>
        </w:tc>
      </w:tr>
      <w:tr w:rsidR="00602AF7" w:rsidRPr="0064737D" w:rsidTr="00D5783D">
        <w:trPr>
          <w:trHeight w:val="18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B083A" w:rsidRPr="00602AF7" w:rsidRDefault="00DB083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453403" w:rsidP="004534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№9 іс-шара:</w:t>
            </w:r>
          </w:p>
          <w:p w:rsidR="00DB083A" w:rsidRPr="00602AF7" w:rsidRDefault="00453403" w:rsidP="005F0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Музыкалық нөмірлерді ұйымдастыру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B083A" w:rsidRPr="00602AF7" w:rsidRDefault="00453403" w:rsidP="005F0C44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Әртүрлі бағыттағы кәсіби орындаушылардың  музыкалық нөмірлері ұйымдастырылды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B083A" w:rsidRPr="00602AF7" w:rsidRDefault="00453403" w:rsidP="00DB083A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Кемінде 5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B083A" w:rsidRPr="00602AF7" w:rsidRDefault="00D5783D" w:rsidP="002D398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Ай сайын іс-шараларды өткізу фактісі бойынша, жоба барысында</w:t>
            </w:r>
          </w:p>
        </w:tc>
      </w:tr>
      <w:tr w:rsidR="00602AF7" w:rsidRPr="0064737D" w:rsidTr="00D5783D">
        <w:trPr>
          <w:trHeight w:val="17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453403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453403" w:rsidP="004534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№10 іс-шара:</w:t>
            </w:r>
          </w:p>
          <w:p w:rsidR="00453403" w:rsidRPr="00602AF7" w:rsidRDefault="00453403" w:rsidP="004534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Имиджді тобының жұмысын ұйымдастыру.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453403" w:rsidP="00453403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Ұлттық киім киген тұратын имидждік топтың жұмысы ұйымдастырылды.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453403" w:rsidP="00DB083A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Ұлттық киім киген 6 қыз (18-20 жас)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D5783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Ай сайын іс-шараларды өткізу фактісі бойынша, жоба барысында</w:t>
            </w:r>
          </w:p>
        </w:tc>
      </w:tr>
      <w:tr w:rsidR="00602AF7" w:rsidRPr="00602AF7" w:rsidTr="00D5783D">
        <w:trPr>
          <w:trHeight w:val="1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453403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453403" w:rsidP="004534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№11 іс-шара:</w:t>
            </w:r>
          </w:p>
          <w:p w:rsidR="00453403" w:rsidRPr="00602AF7" w:rsidRDefault="00453403" w:rsidP="004534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Сценаристер және жүргізуші  кандидатурасын келісу 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453403" w:rsidP="00453403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Сценаристер және жүргізуші  кандидатурасы келісілді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453403" w:rsidP="00453403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2- сценарист </w:t>
            </w:r>
          </w:p>
          <w:p w:rsidR="00453403" w:rsidRPr="00602AF7" w:rsidRDefault="00453403" w:rsidP="00453403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2 жүргізуші 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453403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Байқауға 20 күн қалғанда</w:t>
            </w:r>
          </w:p>
        </w:tc>
      </w:tr>
      <w:tr w:rsidR="00602AF7" w:rsidRPr="0064737D" w:rsidTr="00D5783D">
        <w:trPr>
          <w:trHeight w:val="10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453403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№12 іс-шара:</w:t>
            </w:r>
          </w:p>
          <w:p w:rsidR="00453403" w:rsidRPr="00602AF7" w:rsidRDefault="00453403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Әділқазылар</w:t>
            </w:r>
            <w:r w:rsidR="00372E4D"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алқасын тарту және </w:t>
            </w: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жұмысын ұйымдастыру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372E4D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Жеңімпаздарды анықтау үшін қазылар алқасы тартылды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372E4D" w:rsidP="00453403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Кемінде 5 адам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3403" w:rsidRPr="00602AF7" w:rsidRDefault="00D5783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Ай сайын іс-шараларды өткізу фактісі бойынша, жоба барысында</w:t>
            </w:r>
          </w:p>
        </w:tc>
      </w:tr>
      <w:tr w:rsidR="00602AF7" w:rsidRPr="0064737D" w:rsidTr="00D5783D">
        <w:trPr>
          <w:trHeight w:val="10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№12 іс-шара:</w:t>
            </w:r>
          </w:p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Көрсетілген қызметтер үшін төлемді қамтамасыз ету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Көрсетілген қызметтер үшін төлем қамтамасыз етілді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Қазылар алқасының қызметіне ақы төлеу – 5 адам, орындаушылар – 5 адам, жүргізуші – 2 адам, сценаристер – 1 адам, имидждік топ – 6 адам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D5783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Ай сайын іс-шараларды өткізу фактісі бойынша, жоба барысында</w:t>
            </w:r>
          </w:p>
        </w:tc>
      </w:tr>
      <w:tr w:rsidR="00602AF7" w:rsidRPr="0064737D" w:rsidTr="00D5783D">
        <w:trPr>
          <w:trHeight w:val="10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№13 іс-шара:</w:t>
            </w:r>
          </w:p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Байқаудың жүлде қорын қамтамасыз ету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Байқаудың жүлде қоры қамтамасыз етілді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Байқау жеңімпаздары аударымдармен бірге жүлде қорымен қамтамасыз етіледі: Арнайы жүлде (гран-при) – 6500 00 теңге (бір); 1 орын – 390 х 3 = 1170000 теңге; 2 орын – 260 000 х 3 = 780000 теңге; 3 орын – 130000 х 3 = 390 000 теңге.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Жүлделер іс-шара өтетін күні, сахнада ақшалай табысталды.</w:t>
            </w:r>
          </w:p>
        </w:tc>
      </w:tr>
      <w:tr w:rsidR="00602AF7" w:rsidRPr="0064737D" w:rsidTr="00D5783D">
        <w:trPr>
          <w:trHeight w:val="10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</w:t>
            </w:r>
            <w:r w:rsidR="00613A87"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іс-шара:</w:t>
            </w:r>
          </w:p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Гүл шоқтарын  қамтамасыз ету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Гүл шоқтары  қамтамасыз етілді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372E4D" w:rsidP="00372E4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Кемінде 10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2E4D" w:rsidRPr="00602AF7" w:rsidRDefault="00D5783D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Ай сайын іс-шараларды өткізу фактісі бойынша, жоба барысында</w:t>
            </w:r>
          </w:p>
        </w:tc>
      </w:tr>
    </w:tbl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</w:p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602AF7">
        <w:rPr>
          <w:spacing w:val="2"/>
          <w:lang w:val="kk-KZ"/>
        </w:rPr>
        <w:t>      7. Әлеуметтік жоба және (немесе) әлеуметтік бағдарламаның күнтізбелік жоспары.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09"/>
        <w:gridCol w:w="851"/>
        <w:gridCol w:w="850"/>
        <w:gridCol w:w="709"/>
        <w:gridCol w:w="992"/>
        <w:gridCol w:w="709"/>
        <w:gridCol w:w="850"/>
      </w:tblGrid>
      <w:tr w:rsidR="00602AF7" w:rsidRPr="00602AF7" w:rsidTr="00613A8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398D" w:rsidRPr="00602AF7" w:rsidRDefault="002D398D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Іс-шара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398D" w:rsidRPr="00602AF7" w:rsidRDefault="002D398D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Мамыр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398D" w:rsidRPr="00602AF7" w:rsidRDefault="002D398D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Маусым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398D" w:rsidRPr="00602AF7" w:rsidRDefault="002D398D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Шілде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398D" w:rsidRPr="00602AF7" w:rsidRDefault="002D398D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Тамыз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8D" w:rsidRPr="00602AF7" w:rsidRDefault="002D398D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Қыркүйек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8D" w:rsidRPr="00602AF7" w:rsidRDefault="002D398D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Қазан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8D" w:rsidRPr="00602AF7" w:rsidRDefault="002D398D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Қараша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№1 іс-шара: 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Іс-шараларды жүзеге асыру үшін жұмыс тобын құру.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№2 іс-шара: 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Жобаны ақпараттық қамтамасыз етуді ұйымдастыру. Іс-шараның басталуы туралы жарияланым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№3 іс-шара: Байқауды өткізу үшін орынды қамтамасыз 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№4 іс-шара: 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Іс-шара өткізу залын қажетті құрал-жабдықтармен қамтамасыз 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№5 іс-шара: Баспа өнімдерін үйлестіру </w:t>
            </w: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және өндіру, дипломдарға жақтауларды сатып алу.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№6 іс-шара: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Залды баннермен безендіру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№7 іс-шара: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Байқауға қатысушыларды ұйымдастыру және қатысуын қамтамасыз 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№8 іс-шара: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Фото және видео түсіруді ұйымдастыру.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№9 іс-шара: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Музыкалық нөмірлерді ұйымдастыру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№10 іс-шара: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Имиджді тобының жұмысын ұйымдастыру.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№11 іс-шара: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Сценаристер және жүргізуші  кандидатурасын келісу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№12 іс-шара: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Әділқазылар алқасын тарту және жұмысын ұйымдастыру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№12 іс-шара: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Көрсетілген қызметтер үшін төлемді қамтамасыз 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№13 іс-шара: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Байқаудың жүлде қорын қамтамасыз 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602AF7" w:rsidRPr="00602AF7" w:rsidTr="00613A87">
        <w:trPr>
          <w:trHeight w:val="34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№14 іс-шара:</w:t>
            </w:r>
          </w:p>
          <w:p w:rsidR="00613A87" w:rsidRPr="00602AF7" w:rsidRDefault="00613A87" w:rsidP="00613A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Гүл шоқтарын  қамтамасыз 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87" w:rsidRPr="00602AF7" w:rsidRDefault="00613A87" w:rsidP="0061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</w:tbl>
    <w:p w:rsidR="009548AA" w:rsidRPr="00602AF7" w:rsidRDefault="00602AF7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 </w:t>
      </w:r>
      <w:r w:rsidR="009548AA" w:rsidRPr="00602AF7">
        <w:rPr>
          <w:spacing w:val="2"/>
          <w:lang w:val="kk-KZ"/>
        </w:rPr>
        <w:t>8. Әлеуметтік жобаның және (немесе) әлеуметтік бағдарламаның тәуекелдері.</w:t>
      </w:r>
    </w:p>
    <w:tbl>
      <w:tblPr>
        <w:tblW w:w="10624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368"/>
      </w:tblGrid>
      <w:tr w:rsidR="00602AF7" w:rsidRPr="00602AF7" w:rsidTr="009548A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Тәуекел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b/>
                <w:bCs/>
                <w:spacing w:val="2"/>
                <w:lang w:val="kk-KZ" w:eastAsia="en-US"/>
              </w:rPr>
            </w:pPr>
            <w:r w:rsidRPr="00602AF7">
              <w:rPr>
                <w:b/>
                <w:bCs/>
                <w:spacing w:val="2"/>
                <w:lang w:val="kk-KZ" w:eastAsia="en-US"/>
              </w:rPr>
              <w:t>Ықтималдығын азайту стратегиясы және салдарын барынша азайту стратегиясы</w:t>
            </w:r>
          </w:p>
        </w:tc>
      </w:tr>
      <w:tr w:rsidR="00602AF7" w:rsidRPr="0064737D" w:rsidTr="009548AA">
        <w:trPr>
          <w:trHeight w:val="3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E5785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 xml:space="preserve">Қатысушылардың қаржылық мәселелері / іссапар шығындары / </w:t>
            </w:r>
            <w:r w:rsidR="00E5785E" w:rsidRPr="00602AF7">
              <w:rPr>
                <w:spacing w:val="2"/>
                <w:lang w:val="kk-KZ" w:eastAsia="en-US"/>
              </w:rPr>
              <w:t>байқауға</w:t>
            </w:r>
            <w:r w:rsidRPr="00602AF7">
              <w:rPr>
                <w:spacing w:val="2"/>
                <w:lang w:val="kk-KZ" w:eastAsia="en-US"/>
              </w:rPr>
              <w:t xml:space="preserve"> қатыспау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E5785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 xml:space="preserve">Тәуекелдерді үнемі бақылау, айына 2 рет логистиканы жаңарту. Белгілі бір қатысушының келмеу қаупі расталған жағдайда, қазылар алқасы мен </w:t>
            </w:r>
            <w:r w:rsidR="00E5785E" w:rsidRPr="00602AF7">
              <w:rPr>
                <w:spacing w:val="2"/>
                <w:lang w:val="kk-KZ" w:eastAsia="en-US"/>
              </w:rPr>
              <w:t>ұйымдастырушы</w:t>
            </w:r>
            <w:r w:rsidRPr="00602AF7">
              <w:rPr>
                <w:spacing w:val="2"/>
                <w:lang w:val="kk-KZ" w:eastAsia="en-US"/>
              </w:rPr>
              <w:t xml:space="preserve"> мүшелері ұсынған қосалқы қатысушы </w:t>
            </w:r>
            <w:r w:rsidR="00E5785E" w:rsidRPr="00602AF7">
              <w:rPr>
                <w:spacing w:val="2"/>
                <w:lang w:val="kk-KZ" w:eastAsia="en-US"/>
              </w:rPr>
              <w:t>үміткерлерді тарту.</w:t>
            </w:r>
          </w:p>
        </w:tc>
      </w:tr>
      <w:tr w:rsidR="00602AF7" w:rsidRPr="0064737D" w:rsidTr="009548AA">
        <w:trPr>
          <w:trHeight w:val="3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Жалға алу, қызметтер құнын артуы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Грант алу бойынша қызметтерді жеткізушілермен бекітілген сомамен шарт жасау (грант берушімен шартқа қол қойғаннан кейін)</w:t>
            </w:r>
          </w:p>
        </w:tc>
      </w:tr>
      <w:tr w:rsidR="00602AF7" w:rsidRPr="0064737D" w:rsidTr="009548AA">
        <w:trPr>
          <w:trHeight w:val="3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bCs/>
                <w:iCs/>
                <w:spacing w:val="2"/>
                <w:lang w:val="kk-KZ" w:eastAsia="en-US"/>
              </w:rPr>
            </w:pPr>
            <w:r w:rsidRPr="00602AF7">
              <w:rPr>
                <w:bCs/>
                <w:iCs/>
                <w:spacing w:val="2"/>
                <w:lang w:val="kk-KZ" w:eastAsia="en-US"/>
              </w:rPr>
              <w:t>Эпидемиялық жағдай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bCs/>
                <w:iCs/>
                <w:spacing w:val="2"/>
                <w:lang w:val="kk-KZ" w:eastAsia="en-US"/>
              </w:rPr>
            </w:pPr>
            <w:r w:rsidRPr="00602AF7">
              <w:rPr>
                <w:bCs/>
                <w:iCs/>
                <w:spacing w:val="2"/>
                <w:lang w:val="kk-KZ" w:eastAsia="en-US"/>
              </w:rPr>
              <w:t>Елдегі эпидемиологиялық жағдайға және елдегі эпидемиологиялық жағдайға байланысты іс-шараны өткізу форматының өзгеруі</w:t>
            </w:r>
          </w:p>
        </w:tc>
      </w:tr>
    </w:tbl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602AF7">
        <w:rPr>
          <w:spacing w:val="2"/>
          <w:lang w:val="kk-KZ"/>
        </w:rPr>
        <w:t xml:space="preserve"> 9. Әлеуметтік жоба және (немесе) әлеуметтік бағдарлама қызметінің баспасөз ақпарат құралдарында (ары қарай – БАҚ) жариялануы.</w:t>
      </w:r>
    </w:p>
    <w:tbl>
      <w:tblPr>
        <w:tblW w:w="10611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773"/>
        <w:gridCol w:w="3620"/>
        <w:gridCol w:w="1836"/>
      </w:tblGrid>
      <w:tr w:rsidR="00602AF7" w:rsidRPr="00602AF7" w:rsidTr="009548A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Ақпараттық өнім (мақала, видеоролик, баннер, пост, бюллетень және т.б.)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 xml:space="preserve">Әлеуметтік жоба және (немесе) әлеуметтік бағдарлама кезіндегі ақпараттық өнімдердің </w:t>
            </w:r>
            <w:r w:rsidRPr="00602AF7">
              <w:rPr>
                <w:spacing w:val="2"/>
                <w:lang w:val="kk-KZ" w:eastAsia="en-US"/>
              </w:rPr>
              <w:lastRenderedPageBreak/>
              <w:t>саны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lastRenderedPageBreak/>
              <w:t xml:space="preserve">Жарықтандыру арналары (теледидар, баспа басылымдары, интернет-порталдар, өз веб-сайты, әлеуметтік желілер, </w:t>
            </w:r>
            <w:r w:rsidRPr="00602AF7">
              <w:rPr>
                <w:spacing w:val="2"/>
                <w:lang w:val="kk-KZ" w:eastAsia="en-US"/>
              </w:rPr>
              <w:lastRenderedPageBreak/>
              <w:t>радио, пошта жәшіктері және т.б.)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lastRenderedPageBreak/>
              <w:t>Ақпараттың таралуы жиілігі</w:t>
            </w:r>
          </w:p>
        </w:tc>
      </w:tr>
      <w:tr w:rsidR="00602AF7" w:rsidRPr="0064737D" w:rsidTr="009548AA">
        <w:trPr>
          <w:trHeight w:val="31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48AA" w:rsidRPr="00602AF7" w:rsidRDefault="00E5785E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lastRenderedPageBreak/>
              <w:t xml:space="preserve">Афиша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E5785E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Ә</w:t>
            </w:r>
            <w:r w:rsidR="009548AA" w:rsidRPr="00602AF7">
              <w:rPr>
                <w:spacing w:val="2"/>
                <w:lang w:val="kk-KZ" w:eastAsia="en-US"/>
              </w:rPr>
              <w:t>леуметтік желілер: Facebook, Vkontakte, Instagram, youtube канал , аккаунттарда, беттерде немесе топтарда;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E5785E" w:rsidP="00E5785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 xml:space="preserve">Байқауға 2 ай қалғанда </w:t>
            </w:r>
            <w:r w:rsidR="009548AA" w:rsidRPr="00602AF7">
              <w:rPr>
                <w:spacing w:val="2"/>
                <w:lang w:val="kk-KZ" w:eastAsia="en-US"/>
              </w:rPr>
              <w:t xml:space="preserve">және одан кейін </w:t>
            </w:r>
            <w:r w:rsidRPr="00602AF7">
              <w:rPr>
                <w:spacing w:val="2"/>
                <w:lang w:val="kk-KZ" w:eastAsia="en-US"/>
              </w:rPr>
              <w:t xml:space="preserve">1,5 ай, 1 ай </w:t>
            </w:r>
            <w:r w:rsidR="009548AA" w:rsidRPr="00602AF7">
              <w:rPr>
                <w:spacing w:val="2"/>
                <w:lang w:val="kk-KZ" w:eastAsia="en-US"/>
              </w:rPr>
              <w:t>бұрын</w:t>
            </w:r>
          </w:p>
        </w:tc>
      </w:tr>
      <w:tr w:rsidR="00602AF7" w:rsidRPr="0064737D" w:rsidTr="009548AA">
        <w:trPr>
          <w:trHeight w:val="31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Постер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E5785E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Ә</w:t>
            </w:r>
            <w:r w:rsidR="009548AA" w:rsidRPr="00602AF7">
              <w:rPr>
                <w:spacing w:val="2"/>
                <w:lang w:val="kk-KZ" w:eastAsia="en-US"/>
              </w:rPr>
              <w:t>леуметтік желілер: Facebook, Vkontakte, Instagram, youtube канал , аккаунттарда, беттерде немесе топтарда;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E5785E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Байқауға 2 ай қалғанда және одан кейін 1,5 ай, 1 ай бұрын</w:t>
            </w:r>
          </w:p>
        </w:tc>
      </w:tr>
      <w:tr w:rsidR="00602AF7" w:rsidRPr="00602AF7" w:rsidTr="009548AA">
        <w:trPr>
          <w:trHeight w:val="31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Пост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E5785E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Ә</w:t>
            </w:r>
            <w:r w:rsidR="009548AA" w:rsidRPr="00602AF7">
              <w:rPr>
                <w:spacing w:val="2"/>
                <w:lang w:val="kk-KZ" w:eastAsia="en-US"/>
              </w:rPr>
              <w:t>леуметтік желілер: Facebook, Vkontakte, Instagram, youtube канал , аккаунттарда, беттерде немесе топтарда;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жоба барысында ай сайын</w:t>
            </w:r>
          </w:p>
        </w:tc>
      </w:tr>
      <w:tr w:rsidR="00602AF7" w:rsidRPr="00602AF7" w:rsidTr="009548AA">
        <w:trPr>
          <w:trHeight w:val="31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5785E" w:rsidRPr="00602AF7" w:rsidRDefault="00E5785E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Мақала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5785E" w:rsidRPr="00602AF7" w:rsidRDefault="00E5785E" w:rsidP="002D398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785E" w:rsidRPr="00602AF7" w:rsidRDefault="00E5785E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Әлеуметтік желілер: Facebook, Vkontakte, Instagram, youtube канал , аккаунттарда, беттерде немесе топтарда;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785E" w:rsidRPr="00602AF7" w:rsidRDefault="00E5785E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Жоба аяқталғаннан кейін</w:t>
            </w:r>
          </w:p>
        </w:tc>
      </w:tr>
    </w:tbl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602AF7">
        <w:rPr>
          <w:spacing w:val="2"/>
          <w:lang w:val="kk-KZ"/>
        </w:rPr>
        <w:t>      10. Әлеуметтік жобаның және (немесе) әлеуметтік бағдарламаның тұрақтылығы.</w:t>
      </w:r>
    </w:p>
    <w:tbl>
      <w:tblPr>
        <w:tblW w:w="10627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5732"/>
      </w:tblGrid>
      <w:tr w:rsidR="00602AF7" w:rsidRPr="0064737D" w:rsidTr="009548AA">
        <w:trPr>
          <w:trHeight w:val="110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Қаржыландыру аяқталғаннан кейін қызметті жалғастыру және (немесе) нәтижелерді насихаттау мүмкіндігі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2D398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Жобаның нәтижелері бойынша зерттеу қорытындылары осы жобаның орнықтылығы мен кеңеюі бойынша 3 (үш) жылға арналған әлеуметтік жобаны іске асыру мерзімін қарау бойынша жоспарлы органға ұсынымдар берілетін болады.</w:t>
            </w:r>
          </w:p>
        </w:tc>
      </w:tr>
      <w:tr w:rsidR="00602AF7" w:rsidRPr="0064737D" w:rsidTr="009548AA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48AA" w:rsidRPr="00602AF7" w:rsidRDefault="009548AA" w:rsidP="002D398D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pacing w:val="2"/>
                <w:lang w:val="kk-KZ" w:eastAsia="en-US"/>
              </w:rPr>
            </w:pPr>
            <w:r w:rsidRPr="00602AF7">
              <w:rPr>
                <w:spacing w:val="2"/>
                <w:lang w:val="kk-KZ" w:eastAsia="en-US"/>
              </w:rPr>
              <w:t>Тұрақтылықты қамтамасыз ету және (немесе) нәтижелерді одан әрі насихаттаудағы ұйымның рөлі қандай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8AA" w:rsidRPr="00602AF7" w:rsidRDefault="009548AA" w:rsidP="00E5785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тілін дәріптеу біздің ұйым қызметінің басым бағыттарының бірі болып табылады. Бірлестік </w:t>
            </w:r>
            <w:r w:rsidR="00E5785E" w:rsidRPr="00602AF7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 бойы </w:t>
            </w:r>
            <w:r w:rsidR="00E5785E" w:rsidRPr="00602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 шараларды </w:t>
            </w:r>
            <w:r w:rsidRPr="00602AF7">
              <w:rPr>
                <w:rFonts w:ascii="Times New Roman" w:hAnsi="Times New Roman"/>
                <w:sz w:val="24"/>
                <w:szCs w:val="24"/>
                <w:lang w:val="kk-KZ"/>
              </w:rPr>
              <w:t>тек қазақ тілінде өткізеді, сол арқылы жастардың мәдениет пен тарихқа деген қызығушылығын оятады. Жоба барысында құрылған бейне бағдарлама жобалары жоба аяқталғаннан кейін де қолжетімді болады</w:t>
            </w:r>
          </w:p>
        </w:tc>
      </w:tr>
    </w:tbl>
    <w:p w:rsidR="009548AA" w:rsidRPr="00602AF7" w:rsidRDefault="009548AA" w:rsidP="009548AA">
      <w:pPr>
        <w:spacing w:after="0"/>
        <w:rPr>
          <w:rFonts w:ascii="Times New Roman" w:hAnsi="Times New Roman"/>
          <w:sz w:val="24"/>
          <w:szCs w:val="24"/>
          <w:lang w:val="kk-KZ"/>
        </w:rPr>
      </w:pPr>
      <w:bookmarkStart w:id="1" w:name="_GoBack"/>
      <w:bookmarkEnd w:id="0"/>
      <w:bookmarkEnd w:id="1"/>
    </w:p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bCs/>
          <w:spacing w:val="2"/>
          <w:lang w:val="kk-KZ"/>
        </w:rPr>
      </w:pPr>
    </w:p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bCs/>
          <w:spacing w:val="2"/>
          <w:lang w:val="kk-KZ"/>
        </w:rPr>
      </w:pPr>
    </w:p>
    <w:p w:rsidR="009548AA" w:rsidRPr="00602AF7" w:rsidRDefault="009548AA" w:rsidP="009548A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bCs/>
          <w:spacing w:val="2"/>
          <w:lang w:val="kk-KZ"/>
        </w:rPr>
      </w:pPr>
    </w:p>
    <w:p w:rsidR="009548AA" w:rsidRPr="00602AF7" w:rsidRDefault="009548AA" w:rsidP="009548AA">
      <w:pPr>
        <w:spacing w:after="0"/>
        <w:rPr>
          <w:rFonts w:ascii="Times New Roman" w:eastAsia="Times New Roman" w:hAnsi="Times New Roman"/>
          <w:b/>
          <w:bCs/>
          <w:spacing w:val="2"/>
          <w:sz w:val="24"/>
          <w:szCs w:val="24"/>
          <w:lang w:val="kk-KZ" w:eastAsia="ru-RU"/>
        </w:rPr>
      </w:pPr>
      <w:r w:rsidRPr="00602AF7">
        <w:rPr>
          <w:rFonts w:ascii="Times New Roman" w:eastAsia="Times New Roman" w:hAnsi="Times New Roman"/>
          <w:b/>
          <w:bCs/>
          <w:spacing w:val="2"/>
          <w:sz w:val="24"/>
          <w:szCs w:val="24"/>
          <w:lang w:val="kk-KZ" w:eastAsia="ru-RU"/>
        </w:rPr>
        <w:t>Төраға</w:t>
      </w:r>
      <w:r w:rsidR="00EC6DED" w:rsidRPr="00602AF7">
        <w:rPr>
          <w:rFonts w:ascii="Times New Roman" w:eastAsia="Times New Roman" w:hAnsi="Times New Roman"/>
          <w:b/>
          <w:bCs/>
          <w:spacing w:val="2"/>
          <w:sz w:val="24"/>
          <w:szCs w:val="24"/>
          <w:lang w:val="kk-KZ" w:eastAsia="ru-RU"/>
        </w:rPr>
        <w:t xml:space="preserve">  </w:t>
      </w:r>
      <w:r w:rsidR="00155A94">
        <w:rPr>
          <w:rFonts w:ascii="Times New Roman" w:eastAsia="Times New Roman" w:hAnsi="Times New Roman"/>
          <w:b/>
          <w:bCs/>
          <w:spacing w:val="2"/>
          <w:sz w:val="24"/>
          <w:szCs w:val="24"/>
          <w:lang w:val="kk-KZ" w:eastAsia="ru-RU"/>
        </w:rPr>
        <w:t xml:space="preserve">                                                    </w:t>
      </w:r>
      <w:r w:rsidRPr="00602AF7">
        <w:rPr>
          <w:rFonts w:ascii="Times New Roman" w:eastAsia="Times New Roman" w:hAnsi="Times New Roman"/>
          <w:b/>
          <w:bCs/>
          <w:spacing w:val="2"/>
          <w:sz w:val="24"/>
          <w:szCs w:val="24"/>
          <w:lang w:val="kk-KZ" w:eastAsia="ru-RU"/>
        </w:rPr>
        <w:t>Әбішев Жомарт Сүлейменұлы</w:t>
      </w:r>
    </w:p>
    <w:p w:rsidR="009548AA" w:rsidRPr="00602AF7" w:rsidRDefault="009548AA" w:rsidP="009548AA">
      <w:pPr>
        <w:spacing w:after="0"/>
        <w:rPr>
          <w:rFonts w:ascii="Times New Roman" w:eastAsia="Times New Roman" w:hAnsi="Times New Roman"/>
          <w:b/>
          <w:bCs/>
          <w:spacing w:val="2"/>
          <w:sz w:val="24"/>
          <w:szCs w:val="24"/>
          <w:lang w:val="kk-KZ" w:eastAsia="ru-RU"/>
        </w:rPr>
      </w:pPr>
    </w:p>
    <w:p w:rsidR="009548AA" w:rsidRPr="00602AF7" w:rsidRDefault="009548AA" w:rsidP="009548AA">
      <w:pPr>
        <w:spacing w:after="0"/>
        <w:rPr>
          <w:rFonts w:ascii="Times New Roman" w:eastAsia="Times New Roman" w:hAnsi="Times New Roman"/>
          <w:b/>
          <w:bCs/>
          <w:spacing w:val="2"/>
          <w:sz w:val="24"/>
          <w:szCs w:val="24"/>
          <w:lang w:val="kk-KZ" w:eastAsia="ru-RU"/>
        </w:rPr>
      </w:pPr>
    </w:p>
    <w:p w:rsidR="009548AA" w:rsidRPr="00602AF7" w:rsidRDefault="009548AA" w:rsidP="009548AA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602AF7">
        <w:rPr>
          <w:rFonts w:ascii="Times New Roman" w:eastAsia="Times New Roman" w:hAnsi="Times New Roman"/>
          <w:b/>
          <w:bCs/>
          <w:spacing w:val="2"/>
          <w:sz w:val="24"/>
          <w:szCs w:val="24"/>
          <w:lang w:val="kk-KZ" w:eastAsia="ru-RU"/>
        </w:rPr>
        <w:t xml:space="preserve">Толтырған күні "24" наурыз 2022 жыл </w:t>
      </w:r>
    </w:p>
    <w:p w:rsidR="009548AA" w:rsidRPr="00602AF7" w:rsidRDefault="009548AA" w:rsidP="009548A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9548AA" w:rsidRPr="00602AF7" w:rsidRDefault="009548AA" w:rsidP="009548A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9548AA" w:rsidRPr="00602AF7" w:rsidRDefault="009548AA" w:rsidP="009548A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D4EED" w:rsidRPr="00602AF7" w:rsidRDefault="00ED4EED">
      <w:pPr>
        <w:rPr>
          <w:rFonts w:ascii="Times New Roman" w:hAnsi="Times New Roman"/>
          <w:sz w:val="24"/>
          <w:szCs w:val="24"/>
          <w:lang w:val="kk-KZ"/>
        </w:rPr>
      </w:pPr>
    </w:p>
    <w:sectPr w:rsidR="00ED4EED" w:rsidRPr="00602AF7" w:rsidSect="0075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D9" w:rsidRDefault="007C7FD9" w:rsidP="004838EB">
      <w:pPr>
        <w:spacing w:after="0" w:line="240" w:lineRule="auto"/>
      </w:pPr>
      <w:r>
        <w:separator/>
      </w:r>
    </w:p>
  </w:endnote>
  <w:endnote w:type="continuationSeparator" w:id="0">
    <w:p w:rsidR="007C7FD9" w:rsidRDefault="007C7FD9" w:rsidP="0048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D9" w:rsidRDefault="007C7FD9" w:rsidP="004838EB">
      <w:pPr>
        <w:spacing w:after="0" w:line="240" w:lineRule="auto"/>
      </w:pPr>
      <w:r>
        <w:separator/>
      </w:r>
    </w:p>
  </w:footnote>
  <w:footnote w:type="continuationSeparator" w:id="0">
    <w:p w:rsidR="007C7FD9" w:rsidRDefault="007C7FD9" w:rsidP="0048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1D0A"/>
    <w:multiLevelType w:val="hybridMultilevel"/>
    <w:tmpl w:val="F4C4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0212"/>
    <w:multiLevelType w:val="hybridMultilevel"/>
    <w:tmpl w:val="EC62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C57"/>
    <w:rsid w:val="000A6606"/>
    <w:rsid w:val="00155A94"/>
    <w:rsid w:val="00195C57"/>
    <w:rsid w:val="002D398D"/>
    <w:rsid w:val="0036280C"/>
    <w:rsid w:val="00372E4D"/>
    <w:rsid w:val="00381EA9"/>
    <w:rsid w:val="003B6D8F"/>
    <w:rsid w:val="003D5537"/>
    <w:rsid w:val="00453403"/>
    <w:rsid w:val="00461B71"/>
    <w:rsid w:val="004838EB"/>
    <w:rsid w:val="004F5DAC"/>
    <w:rsid w:val="005C1AD4"/>
    <w:rsid w:val="005F0C44"/>
    <w:rsid w:val="00602AF7"/>
    <w:rsid w:val="00613A87"/>
    <w:rsid w:val="0064737D"/>
    <w:rsid w:val="007560AE"/>
    <w:rsid w:val="00775AB5"/>
    <w:rsid w:val="007C7FD9"/>
    <w:rsid w:val="007F238C"/>
    <w:rsid w:val="0087406C"/>
    <w:rsid w:val="00881548"/>
    <w:rsid w:val="00893759"/>
    <w:rsid w:val="009548AA"/>
    <w:rsid w:val="00A57B8D"/>
    <w:rsid w:val="00BC3FFE"/>
    <w:rsid w:val="00BC7FA8"/>
    <w:rsid w:val="00D5783D"/>
    <w:rsid w:val="00DB083A"/>
    <w:rsid w:val="00DE00FC"/>
    <w:rsid w:val="00E1632D"/>
    <w:rsid w:val="00E33030"/>
    <w:rsid w:val="00E5785E"/>
    <w:rsid w:val="00EC6DED"/>
    <w:rsid w:val="00ED4EED"/>
    <w:rsid w:val="00F733EC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F69CB"/>
  <w15:docId w15:val="{C344286F-2C56-4BEA-AA4C-B75CB60E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A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548A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8AA"/>
    <w:rPr>
      <w:rFonts w:ascii="Calibri Light" w:hAnsi="Calibri Light"/>
      <w:b/>
      <w:bCs/>
      <w:sz w:val="26"/>
      <w:szCs w:val="26"/>
      <w:lang w:eastAsia="en-US"/>
    </w:rPr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link w:val="a4"/>
    <w:uiPriority w:val="34"/>
    <w:qFormat/>
    <w:rsid w:val="00954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uiPriority w:val="34"/>
    <w:qFormat/>
    <w:rsid w:val="00954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,Знак Зн Знак"/>
    <w:link w:val="a3"/>
    <w:uiPriority w:val="34"/>
    <w:locked/>
    <w:rsid w:val="009548AA"/>
    <w:rPr>
      <w:sz w:val="24"/>
      <w:szCs w:val="24"/>
    </w:rPr>
  </w:style>
  <w:style w:type="paragraph" w:styleId="a5">
    <w:name w:val="header"/>
    <w:basedOn w:val="a"/>
    <w:link w:val="a6"/>
    <w:unhideWhenUsed/>
    <w:rsid w:val="0048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838EB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48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838EB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C1AD4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60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02AF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Designer3</dc:creator>
  <cp:keywords/>
  <dc:description/>
  <cp:lastModifiedBy>Uzer</cp:lastModifiedBy>
  <cp:revision>27</cp:revision>
  <cp:lastPrinted>2022-04-05T06:59:00Z</cp:lastPrinted>
  <dcterms:created xsi:type="dcterms:W3CDTF">2022-04-03T06:31:00Z</dcterms:created>
  <dcterms:modified xsi:type="dcterms:W3CDTF">2022-04-05T07:00:00Z</dcterms:modified>
</cp:coreProperties>
</file>