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4ADE3717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4A0B63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18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4A0B63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апрел</w:t>
      </w:r>
      <w:r w:rsidR="00314C50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3F7AAA6C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ГУ «</w:t>
      </w:r>
      <w:bookmarkStart w:id="0" w:name="_Hlk96339666"/>
      <w:r w:rsidR="00D42329">
        <w:rPr>
          <w:rFonts w:ascii="Times New Roman" w:hAnsi="Times New Roman"/>
          <w:sz w:val="28"/>
          <w:szCs w:val="28"/>
          <w:lang w:val="kk-KZ"/>
        </w:rPr>
        <w:t>Управлени</w:t>
      </w:r>
      <w:r w:rsidR="002A7EB3">
        <w:rPr>
          <w:rFonts w:ascii="Times New Roman" w:hAnsi="Times New Roman"/>
          <w:sz w:val="28"/>
          <w:szCs w:val="28"/>
          <w:lang w:val="kk-KZ"/>
        </w:rPr>
        <w:t xml:space="preserve">е общественного развития Костанайской </w:t>
      </w:r>
      <w:r w:rsidR="00D42329">
        <w:rPr>
          <w:rFonts w:ascii="Times New Roman" w:hAnsi="Times New Roman"/>
          <w:sz w:val="28"/>
          <w:szCs w:val="28"/>
          <w:lang w:val="kk-KZ"/>
        </w:rPr>
        <w:t>области</w:t>
      </w:r>
      <w:r w:rsidR="002A7EB3">
        <w:rPr>
          <w:rFonts w:ascii="Times New Roman" w:hAnsi="Times New Roman"/>
          <w:sz w:val="28"/>
          <w:szCs w:val="28"/>
          <w:lang w:val="kk-KZ"/>
        </w:rPr>
        <w:t>»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0"/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7EB3">
        <w:rPr>
          <w:rFonts w:ascii="Times New Roman" w:hAnsi="Times New Roman"/>
          <w:sz w:val="28"/>
          <w:szCs w:val="28"/>
          <w:lang w:val="kk-KZ"/>
        </w:rPr>
        <w:t>Костанайской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6D9747D4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</w:t>
      </w:r>
      <w:r w:rsidR="004A0B63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2 следующим темам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374"/>
        <w:gridCol w:w="1701"/>
        <w:gridCol w:w="3828"/>
        <w:gridCol w:w="1559"/>
        <w:gridCol w:w="1843"/>
        <w:gridCol w:w="1417"/>
        <w:gridCol w:w="3119"/>
      </w:tblGrid>
      <w:tr w:rsidR="000E64CA" w:rsidRPr="004A0B63" w14:paraId="59EFBAE8" w14:textId="77777777" w:rsidTr="00C45BBC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CB077B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EABCF7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Тематика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05447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E0E12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 xml:space="preserve">Задачи </w:t>
            </w:r>
          </w:p>
          <w:p w14:paraId="6BBEA00E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0F18EC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3BD57F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B7A5914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Объем выделенных средств (тыс.</w:t>
            </w:r>
            <w:r w:rsidRPr="004A0B63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</w:t>
            </w:r>
            <w:r w:rsidRPr="004A0B63">
              <w:rPr>
                <w:rFonts w:ascii="Times New Roman" w:hAnsi="Times New Roman"/>
                <w:b/>
                <w:bCs/>
                <w:color w:val="000000"/>
              </w:rPr>
              <w:t>тенге</w:t>
            </w:r>
            <w:r w:rsidRPr="004A0B63">
              <w:rPr>
                <w:rFonts w:ascii="Times New Roman" w:hAnsi="Times New Roman"/>
                <w:b/>
                <w:bCs/>
                <w:color w:val="000000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B83C56" w14:textId="77777777" w:rsidR="000E64CA" w:rsidRPr="004A0B63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A0B63">
              <w:rPr>
                <w:rFonts w:ascii="Times New Roman" w:hAnsi="Times New Roman"/>
                <w:b/>
                <w:bCs/>
                <w:color w:val="000000"/>
              </w:rPr>
              <w:t>Ожидаемы</w:t>
            </w:r>
            <w:r w:rsidRPr="004A0B63">
              <w:rPr>
                <w:rFonts w:ascii="Times New Roman" w:hAnsi="Times New Roman"/>
                <w:b/>
                <w:bCs/>
                <w:color w:val="000000"/>
                <w:lang w:val="kk-KZ"/>
              </w:rPr>
              <w:t>й</w:t>
            </w:r>
            <w:r w:rsidRPr="004A0B63">
              <w:rPr>
                <w:rFonts w:ascii="Times New Roman" w:hAnsi="Times New Roman"/>
                <w:b/>
                <w:bCs/>
                <w:color w:val="000000"/>
              </w:rPr>
              <w:t xml:space="preserve"> результат</w:t>
            </w:r>
            <w:r w:rsidRPr="004A0B63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от реализации проекта</w:t>
            </w:r>
          </w:p>
        </w:tc>
      </w:tr>
      <w:tr w:rsidR="004A0B63" w:rsidRPr="004A0B63" w14:paraId="02ED0B4C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2464C" w14:textId="77777777" w:rsidR="004A0B63" w:rsidRPr="004A0B63" w:rsidRDefault="004A0B63" w:rsidP="004A0B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B63">
              <w:rPr>
                <w:rFonts w:ascii="Times New Roman" w:hAnsi="Times New Roman"/>
                <w:bCs/>
                <w:lang w:val="kk-KZ"/>
              </w:rPr>
              <w:t>1.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C0A7" w14:textId="28C345AC" w:rsidR="004A0B63" w:rsidRPr="004A0B63" w:rsidRDefault="004A0B63" w:rsidP="004A0B6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4A0B63">
              <w:rPr>
                <w:rFonts w:ascii="Times New Roman" w:hAnsi="Times New Roman"/>
                <w:b/>
                <w:bCs/>
              </w:rPr>
              <w:t>Реализация проекта, направленного на поддержку сельских неправительственных организаций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7DA" w14:textId="59F590E4" w:rsidR="004A0B63" w:rsidRPr="004A0B63" w:rsidRDefault="004A0B63" w:rsidP="004A0B6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6FA" w14:textId="77777777" w:rsidR="004A0B63" w:rsidRPr="004A0B63" w:rsidRDefault="004A0B63" w:rsidP="004A0B63">
            <w:pPr>
              <w:ind w:firstLine="317"/>
              <w:jc w:val="both"/>
              <w:rPr>
                <w:rFonts w:ascii="Times New Roman" w:hAnsi="Times New Roman"/>
              </w:rPr>
            </w:pPr>
            <w:r w:rsidRPr="004A0B63">
              <w:rPr>
                <w:rFonts w:ascii="Times New Roman" w:hAnsi="Times New Roman"/>
              </w:rPr>
              <w:t>В рамках проекта планируется проведение оценки потребностей в разрезе районов у представителей сельских НПО, инициативных групп, жителей регионов и экспертного сообщества Костанайской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70A4028E" w14:textId="77777777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ind w:firstLine="317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>На основе данных направлений, разработка положения конкурса и организация конкурса социальных идей и проектов для сельских НПО. Выдача грантов победителям конкурса</w:t>
            </w:r>
            <w:r w:rsidRPr="004A0B6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4A0B63">
              <w:rPr>
                <w:rFonts w:ascii="Times New Roman" w:hAnsi="Times New Roman"/>
                <w:b/>
                <w:i/>
                <w:color w:val="000000" w:themeColor="text1"/>
              </w:rPr>
              <w:t>(не менее 10 малых грантов по 500 тыс.тг),</w:t>
            </w:r>
            <w:r w:rsidRPr="004A0B6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4A0B63">
              <w:rPr>
                <w:rFonts w:ascii="Times New Roman" w:hAnsi="Times New Roman"/>
                <w:color w:val="000000" w:themeColor="text1"/>
              </w:rPr>
              <w:t>презентация социальных проектов победителей.</w:t>
            </w:r>
          </w:p>
          <w:p w14:paraId="5F02E457" w14:textId="77777777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 xml:space="preserve">Привлечение к конкурсу для поддержки социальных проектов сельских НПО не менее </w:t>
            </w:r>
            <w:r w:rsidRPr="004A0B63">
              <w:rPr>
                <w:rFonts w:ascii="Times New Roman" w:hAnsi="Times New Roman"/>
                <w:b/>
                <w:color w:val="000000" w:themeColor="text1"/>
              </w:rPr>
              <w:t>3-х бизнес-сообществ.</w:t>
            </w:r>
          </w:p>
          <w:p w14:paraId="0CFEC708" w14:textId="77777777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ind w:firstLine="317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 xml:space="preserve">Популяризация и информационное сопровождение реализации социальных проектов победителей </w:t>
            </w:r>
            <w:r w:rsidRPr="004A0B63">
              <w:rPr>
                <w:rFonts w:ascii="Times New Roman" w:hAnsi="Times New Roman"/>
                <w:color w:val="000000" w:themeColor="text1"/>
              </w:rPr>
              <w:lastRenderedPageBreak/>
              <w:t xml:space="preserve">малых грантов через SMM продвижение </w:t>
            </w:r>
            <w:r w:rsidRPr="004A0B63">
              <w:rPr>
                <w:rFonts w:ascii="Times New Roman" w:hAnsi="Times New Roman"/>
                <w:i/>
                <w:color w:val="000000" w:themeColor="text1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25264730" w14:textId="77777777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ind w:firstLine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4885C8A4" w14:textId="77777777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>П</w:t>
            </w:r>
            <w:r w:rsidRPr="004A0B63">
              <w:rPr>
                <w:rFonts w:ascii="Times New Roman" w:hAnsi="Times New Roman"/>
                <w:bCs/>
                <w:color w:val="000000" w:themeColor="text1"/>
              </w:rPr>
              <w:t>роведение не менее 10-ти обучающих мероприятий для сельских НПО по вопросам повышения их потенциала и инициативных групп по созданию НПО и навыкам работы НПО.</w:t>
            </w:r>
          </w:p>
          <w:p w14:paraId="49FA204D" w14:textId="4F6F0B00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282828"/>
                <w:shd w:val="clear" w:color="auto" w:fill="FFFFFF"/>
              </w:rPr>
            </w:pPr>
            <w:r w:rsidRPr="004A0B63">
              <w:rPr>
                <w:rFonts w:ascii="Times New Roman" w:hAnsi="Times New Roman"/>
                <w:bCs/>
                <w:color w:val="000000" w:themeColor="text1"/>
              </w:rPr>
              <w:t xml:space="preserve">Организация и учет консультаций для неправительственных организаций, инициативных групп и граждан.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BE7" w14:textId="6875DE15" w:rsidR="004A0B63" w:rsidRPr="004A0B63" w:rsidRDefault="004A0B63" w:rsidP="004A0B63">
            <w:pPr>
              <w:spacing w:after="0" w:line="240" w:lineRule="auto"/>
              <w:rPr>
                <w:rFonts w:ascii="Times New Roman" w:hAnsi="Times New Roman"/>
              </w:rPr>
            </w:pPr>
            <w:r w:rsidRPr="004A0B63">
              <w:rPr>
                <w:rFonts w:ascii="Times New Roman" w:hAnsi="Times New Roman"/>
              </w:rPr>
              <w:lastRenderedPageBreak/>
              <w:t>Июнь - 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33" w14:textId="7D33A780" w:rsidR="004A0B63" w:rsidRPr="004A0B63" w:rsidRDefault="004A0B63" w:rsidP="004A0B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0B63">
              <w:rPr>
                <w:rFonts w:ascii="Times New Roman" w:hAnsi="Times New Roman"/>
              </w:rPr>
              <w:t xml:space="preserve">Костанайская область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C26FD" w14:textId="41ADDCD9" w:rsidR="004A0B63" w:rsidRPr="004A0B63" w:rsidRDefault="004A0B63" w:rsidP="004A0B6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4A0B63">
              <w:rPr>
                <w:rFonts w:ascii="Times New Roman" w:hAnsi="Times New Roman"/>
              </w:rPr>
              <w:t>8 500,0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068B0" w14:textId="49EA9E7B" w:rsidR="004A0B63" w:rsidRPr="004A0B63" w:rsidRDefault="004A0B63" w:rsidP="004A0B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4A0B63">
              <w:rPr>
                <w:rFonts w:ascii="Times New Roman" w:hAnsi="Times New Roman"/>
                <w:color w:val="000000" w:themeColor="text1"/>
              </w:rPr>
              <w:t>Повышение потенциала не менее 30 представителей сельских НПО, не менее 20 инициативных групп, развитие устойчивых, конкурентоспособных НПО в сельской местности, реализация</w:t>
            </w:r>
            <w:r w:rsidRPr="004A0B63">
              <w:rPr>
                <w:rFonts w:ascii="Times New Roman" w:hAnsi="Times New Roman"/>
                <w:color w:val="000000" w:themeColor="text1"/>
                <w:lang w:val="kk-KZ"/>
              </w:rPr>
              <w:t xml:space="preserve"> не менее</w:t>
            </w:r>
            <w:r w:rsidRPr="004A0B63">
              <w:rPr>
                <w:rFonts w:ascii="Times New Roman" w:hAnsi="Times New Roman"/>
                <w:color w:val="000000" w:themeColor="text1"/>
              </w:rPr>
              <w:t xml:space="preserve"> 10 малых грантов сельских НПО. привлечение не менее 3-х бизнес сообществ для поддержки социальных проектов сельских НПО, оказание консультационной и методической помощи сельским НПО и инициативным группам.</w:t>
            </w:r>
          </w:p>
        </w:tc>
      </w:tr>
      <w:tr w:rsidR="004A0B63" w:rsidRPr="004A0B63" w14:paraId="45ED187A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7108A" w14:textId="77777777" w:rsidR="004A0B63" w:rsidRPr="004A0B63" w:rsidRDefault="004A0B63" w:rsidP="004A0B63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4A0B63">
              <w:rPr>
                <w:rFonts w:ascii="Times New Roman" w:hAnsi="Times New Roman"/>
                <w:bCs/>
                <w:lang w:val="kk-KZ"/>
              </w:rPr>
              <w:t>2.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129D3D" w14:textId="7ADA3600" w:rsidR="004A0B63" w:rsidRPr="004A0B63" w:rsidRDefault="004A0B63" w:rsidP="004A0B6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A0B63">
              <w:rPr>
                <w:rFonts w:ascii="Times New Roman" w:hAnsi="Times New Roman"/>
                <w:b/>
                <w:bCs/>
              </w:rPr>
              <w:t>Формирование общегражданской идентичности этносов Костанайской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0092" w14:textId="77777777" w:rsidR="004A0B63" w:rsidRPr="004A0B63" w:rsidRDefault="004A0B63" w:rsidP="004A0B63">
            <w:pPr>
              <w:ind w:firstLine="290"/>
              <w:jc w:val="both"/>
              <w:rPr>
                <w:rFonts w:ascii="Times New Roman" w:hAnsi="Times New Roman"/>
                <w:color w:val="4D5156"/>
                <w:shd w:val="clear" w:color="auto" w:fill="FFFFFF"/>
              </w:rPr>
            </w:pPr>
            <w:r w:rsidRPr="004A0B63">
              <w:rPr>
                <w:rFonts w:ascii="Times New Roman" w:hAnsi="Times New Roman"/>
              </w:rPr>
              <w:t>В</w:t>
            </w:r>
            <w:r w:rsidRPr="004A0B63">
              <w:rPr>
                <w:rFonts w:ascii="Times New Roman" w:hAnsi="Times New Roman"/>
                <w:shd w:val="clear" w:color="auto" w:fill="FFFFFF"/>
              </w:rPr>
              <w:t xml:space="preserve">ыявление проблем населения и оказание консультативной помощи </w:t>
            </w:r>
            <w:r w:rsidRPr="004A0B63">
              <w:rPr>
                <w:rFonts w:ascii="Times New Roman" w:hAnsi="Times New Roman"/>
                <w:shd w:val="clear" w:color="auto" w:fill="FFFFFF"/>
              </w:rPr>
              <w:lastRenderedPageBreak/>
              <w:t>жителям на местах;</w:t>
            </w:r>
          </w:p>
          <w:p w14:paraId="71272352" w14:textId="1DD8A5D3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</w:rPr>
              <w:t>Профилактику по недопущению конфликтов на межэтнической основе среди населения с представителями разных этносов.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2943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i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lastRenderedPageBreak/>
              <w:tab/>
            </w:r>
            <w:r w:rsidRPr="004A0B63">
              <w:rPr>
                <w:rFonts w:ascii="Times New Roman" w:hAnsi="Times New Roman"/>
              </w:rPr>
              <w:t>В рамках проекта планируется запуск горячей линии для жителей области по сообщению фактов нарушения прав и свобод человека по национальным, этническим и языковым признакам.</w:t>
            </w:r>
            <w:r w:rsidRPr="004A0B63">
              <w:rPr>
                <w:rFonts w:ascii="Times New Roman" w:hAnsi="Times New Roman"/>
                <w:lang w:val="kk-KZ"/>
              </w:rPr>
              <w:tab/>
            </w:r>
          </w:p>
          <w:p w14:paraId="3217A105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</w:rPr>
              <w:lastRenderedPageBreak/>
              <w:t xml:space="preserve">Организация не менее </w:t>
            </w:r>
            <w:r w:rsidRPr="004A0B63">
              <w:rPr>
                <w:rFonts w:ascii="Times New Roman" w:hAnsi="Times New Roman"/>
                <w:lang w:val="kk-KZ"/>
              </w:rPr>
              <w:t>10-ти</w:t>
            </w:r>
            <w:r w:rsidRPr="004A0B63">
              <w:rPr>
                <w:rFonts w:ascii="Times New Roman" w:hAnsi="Times New Roman"/>
              </w:rPr>
              <w:t xml:space="preserve"> выездов в районы области </w:t>
            </w:r>
            <w:r w:rsidRPr="004A0B63">
              <w:rPr>
                <w:rFonts w:ascii="Times New Roman" w:hAnsi="Times New Roman"/>
                <w:i/>
              </w:rPr>
              <w:t>(с высокой этносоциальной напряженностью)</w:t>
            </w:r>
            <w:r w:rsidRPr="004A0B63">
              <w:rPr>
                <w:rFonts w:ascii="Times New Roman" w:hAnsi="Times New Roman"/>
              </w:rPr>
              <w:t xml:space="preserve"> с разработкой индивидуальной программы по предупреждению межэтнических конфликтов.</w:t>
            </w:r>
          </w:p>
          <w:p w14:paraId="4F8900B3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lang w:val="kk-KZ"/>
              </w:rPr>
            </w:pPr>
          </w:p>
          <w:p w14:paraId="55ECC298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>П</w:t>
            </w:r>
            <w:r w:rsidRPr="004A0B63">
              <w:rPr>
                <w:rFonts w:ascii="Times New Roman" w:hAnsi="Times New Roman"/>
              </w:rPr>
              <w:t xml:space="preserve">роведение </w:t>
            </w:r>
            <w:r w:rsidRPr="004A0B63">
              <w:rPr>
                <w:rFonts w:ascii="Times New Roman" w:hAnsi="Times New Roman"/>
                <w:lang w:val="kk-KZ"/>
              </w:rPr>
              <w:t>не менее 10-ти Дней культур этносов в</w:t>
            </w:r>
            <w:r w:rsidRPr="004A0B63">
              <w:rPr>
                <w:rFonts w:ascii="Times New Roman" w:hAnsi="Times New Roman"/>
              </w:rPr>
              <w:t xml:space="preserve"> рамках проекта «Духовно-культурная популяризация </w:t>
            </w:r>
          </w:p>
          <w:p w14:paraId="76F22CD0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</w:rPr>
              <w:t>казахстанского многообразия этносов».</w:t>
            </w:r>
          </w:p>
          <w:p w14:paraId="43AE2179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 xml:space="preserve">Организация конкурса эскизов национальных костюмов разных этносов среди населения области с награждением победителей ценными призами </w:t>
            </w:r>
            <w:r w:rsidRPr="004A0B63">
              <w:rPr>
                <w:rFonts w:ascii="Times New Roman" w:hAnsi="Times New Roman"/>
                <w:i/>
                <w:lang w:val="kk-KZ"/>
              </w:rPr>
              <w:t>(Положение конкурса и призы по согласованию с Заказчиком)</w:t>
            </w:r>
            <w:r w:rsidRPr="004A0B63">
              <w:rPr>
                <w:rFonts w:ascii="Times New Roman" w:hAnsi="Times New Roman"/>
                <w:lang w:val="kk-KZ"/>
              </w:rPr>
              <w:t xml:space="preserve">. </w:t>
            </w:r>
          </w:p>
          <w:p w14:paraId="0A46E6D1" w14:textId="77777777" w:rsidR="004A0B63" w:rsidRPr="004A0B63" w:rsidRDefault="004A0B63" w:rsidP="004A0B63">
            <w:pPr>
              <w:ind w:left="33"/>
              <w:jc w:val="both"/>
              <w:rPr>
                <w:rFonts w:ascii="Times New Roman" w:hAnsi="Times New Roman"/>
                <w:i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 xml:space="preserve">По итогу конкурса организовать пошив костюмов по эскизам участников </w:t>
            </w:r>
            <w:r w:rsidRPr="004A0B63">
              <w:rPr>
                <w:rFonts w:ascii="Times New Roman" w:hAnsi="Times New Roman"/>
                <w:i/>
                <w:lang w:val="kk-KZ"/>
              </w:rPr>
              <w:t>(не менее 1 мужского и женского костюма каждого этноса указанного в положении конкурса).</w:t>
            </w:r>
          </w:p>
          <w:p w14:paraId="0582EBDE" w14:textId="5D119AD1" w:rsidR="004A0B63" w:rsidRPr="004A0B63" w:rsidRDefault="004A0B63" w:rsidP="004A0B6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>Проведение этномоды по изготовленным костюмам</w:t>
            </w:r>
            <w:r w:rsidRPr="004A0B63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4A0B63">
              <w:rPr>
                <w:rFonts w:ascii="Times New Roman" w:hAnsi="Times New Roman"/>
              </w:rPr>
              <w:t xml:space="preserve">с </w:t>
            </w:r>
            <w:r w:rsidRPr="004A0B63">
              <w:rPr>
                <w:rFonts w:ascii="Times New Roman" w:hAnsi="Times New Roman"/>
              </w:rPr>
              <w:lastRenderedPageBreak/>
              <w:t>последующей передачи Заказчику местному исполнительному органу.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01502" w14:textId="048846ED" w:rsidR="004A0B63" w:rsidRPr="004A0B63" w:rsidRDefault="004A0B63" w:rsidP="004A0B6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lastRenderedPageBreak/>
              <w:t>Июнь</w:t>
            </w:r>
            <w:r w:rsidRPr="004A0B63">
              <w:rPr>
                <w:rFonts w:ascii="Times New Roman" w:hAnsi="Times New Roman"/>
              </w:rPr>
              <w:t xml:space="preserve"> - 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C145" w14:textId="068F6052" w:rsidR="004A0B63" w:rsidRPr="004A0B63" w:rsidRDefault="004A0B63" w:rsidP="004A0B6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A0B63">
              <w:rPr>
                <w:rFonts w:ascii="Times New Roman" w:hAnsi="Times New Roman"/>
              </w:rPr>
              <w:t>Костанайская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8D6235" w14:textId="4BDD2C56" w:rsidR="004A0B63" w:rsidRPr="004A0B63" w:rsidRDefault="004A0B63" w:rsidP="004A0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A0B63">
              <w:rPr>
                <w:rFonts w:ascii="Times New Roman" w:hAnsi="Times New Roman"/>
              </w:rPr>
              <w:t>5 000,0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CBDE97" w14:textId="77777777" w:rsidR="004A0B63" w:rsidRPr="004A0B63" w:rsidRDefault="004A0B63" w:rsidP="004A0B63">
            <w:pPr>
              <w:ind w:left="81"/>
              <w:jc w:val="both"/>
              <w:rPr>
                <w:rFonts w:ascii="Times New Roman" w:hAnsi="Times New Roman"/>
                <w:i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 xml:space="preserve">Запуск единого телефона доверия и информирования населения о наличии телефона доверия в городах и районах области по средствам СМИ, социальных сетей, раздачу буклетов, </w:t>
            </w:r>
            <w:r w:rsidRPr="004A0B63">
              <w:rPr>
                <w:rFonts w:ascii="Times New Roman" w:hAnsi="Times New Roman"/>
                <w:lang w:val="kk-KZ"/>
              </w:rPr>
              <w:lastRenderedPageBreak/>
              <w:t xml:space="preserve">размещение информационных плакатов </w:t>
            </w:r>
            <w:r w:rsidRPr="004A0B63">
              <w:rPr>
                <w:rFonts w:ascii="Times New Roman" w:hAnsi="Times New Roman"/>
                <w:i/>
                <w:lang w:val="kk-KZ"/>
              </w:rPr>
              <w:t>(содержание и эскиз по согласованию с Заказчиком).</w:t>
            </w:r>
          </w:p>
          <w:p w14:paraId="4C2737C6" w14:textId="77777777" w:rsidR="004A0B63" w:rsidRPr="004A0B63" w:rsidRDefault="004A0B63" w:rsidP="004A0B63">
            <w:pPr>
              <w:ind w:left="81"/>
              <w:jc w:val="both"/>
              <w:rPr>
                <w:rFonts w:ascii="Times New Roman" w:hAnsi="Times New Roman"/>
                <w:lang w:val="kk-KZ"/>
              </w:rPr>
            </w:pPr>
          </w:p>
          <w:p w14:paraId="17937695" w14:textId="77777777" w:rsidR="004A0B63" w:rsidRPr="004A0B63" w:rsidRDefault="004A0B63" w:rsidP="004A0B63">
            <w:pPr>
              <w:ind w:left="81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</w:rPr>
              <w:t xml:space="preserve">Снижение </w:t>
            </w:r>
            <w:r w:rsidRPr="004A0B63">
              <w:rPr>
                <w:rFonts w:ascii="Times New Roman" w:hAnsi="Times New Roman"/>
                <w:i/>
              </w:rPr>
              <w:t>э</w:t>
            </w:r>
            <w:r w:rsidRPr="004A0B63">
              <w:rPr>
                <w:rFonts w:ascii="Times New Roman" w:hAnsi="Times New Roman"/>
              </w:rPr>
              <w:t>тносоциальной напряженности</w:t>
            </w:r>
            <w:r w:rsidRPr="004A0B63">
              <w:rPr>
                <w:rFonts w:ascii="Times New Roman" w:hAnsi="Times New Roman"/>
                <w:lang w:val="kk-KZ"/>
              </w:rPr>
              <w:t xml:space="preserve"> в районах, через проведение индивидуальных бесед и встреч с населением регинов.</w:t>
            </w:r>
          </w:p>
          <w:p w14:paraId="0F38E8D4" w14:textId="77777777" w:rsidR="004A0B63" w:rsidRPr="004A0B63" w:rsidRDefault="004A0B63" w:rsidP="004A0B63">
            <w:pPr>
              <w:ind w:left="81"/>
              <w:jc w:val="both"/>
              <w:rPr>
                <w:rFonts w:ascii="Times New Roman" w:hAnsi="Times New Roman"/>
                <w:lang w:val="kk-KZ"/>
              </w:rPr>
            </w:pPr>
          </w:p>
          <w:p w14:paraId="1548D76C" w14:textId="77777777" w:rsidR="004A0B63" w:rsidRPr="004A0B63" w:rsidRDefault="004A0B63" w:rsidP="004A0B63">
            <w:pPr>
              <w:ind w:left="81"/>
              <w:jc w:val="both"/>
              <w:rPr>
                <w:rFonts w:ascii="Times New Roman" w:hAnsi="Times New Roman"/>
                <w:lang w:val="kk-KZ"/>
              </w:rPr>
            </w:pPr>
            <w:r w:rsidRPr="004A0B63">
              <w:rPr>
                <w:rFonts w:ascii="Times New Roman" w:hAnsi="Times New Roman"/>
                <w:lang w:val="kk-KZ"/>
              </w:rPr>
              <w:t xml:space="preserve">Широкое вовлечение жителей области в </w:t>
            </w:r>
            <w:r w:rsidRPr="004A0B63">
              <w:rPr>
                <w:rFonts w:ascii="Times New Roman" w:hAnsi="Times New Roman"/>
                <w:color w:val="000000"/>
              </w:rPr>
              <w:t>развитие единства духовных наследий, исторических и культурных ценностей</w:t>
            </w:r>
            <w:r w:rsidRPr="004A0B63">
              <w:rPr>
                <w:rFonts w:ascii="Times New Roman" w:hAnsi="Times New Roman"/>
                <w:color w:val="000000"/>
                <w:lang w:val="kk-KZ"/>
              </w:rPr>
              <w:t xml:space="preserve"> этносов.</w:t>
            </w:r>
          </w:p>
          <w:p w14:paraId="1CFD8BE9" w14:textId="7EFAC105" w:rsidR="004A0B63" w:rsidRPr="004A0B63" w:rsidRDefault="004A0B63" w:rsidP="004A0B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</w:tc>
      </w:tr>
      <w:tr w:rsidR="000E64CA" w:rsidRPr="004A0B63" w14:paraId="22985C62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03387" w14:textId="77777777" w:rsidR="000E64CA" w:rsidRPr="004A0B63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1C2" w14:textId="77777777" w:rsidR="000E64CA" w:rsidRPr="004A0B63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A0B63">
              <w:rPr>
                <w:rFonts w:ascii="Times New Roman" w:hAnsi="Times New Roman"/>
                <w:b/>
                <w:lang w:val="kk-KZ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903" w14:textId="77777777" w:rsidR="000E64CA" w:rsidRPr="004A0B63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366" w14:textId="77777777" w:rsidR="000E64CA" w:rsidRPr="004A0B63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38" w14:textId="77777777" w:rsidR="000E64CA" w:rsidRPr="004A0B63" w:rsidRDefault="000E64CA" w:rsidP="00C45BB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7F5" w14:textId="77777777" w:rsidR="000E64CA" w:rsidRPr="004A0B63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78DFD" w14:textId="28BF1CF8" w:rsidR="000E64CA" w:rsidRPr="004A0B63" w:rsidRDefault="004A0B63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13 500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EEE4A" w14:textId="77777777" w:rsidR="000E64CA" w:rsidRPr="004A0B63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6AFA64DB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18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АПРЕЛЯ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18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МА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Я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</w:t>
      </w:r>
      <w:r w:rsidRPr="002C25B2">
        <w:rPr>
          <w:rFonts w:ascii="Times New Roman" w:hAnsi="Times New Roman"/>
          <w:color w:val="000000"/>
          <w:sz w:val="28"/>
          <w:szCs w:val="28"/>
        </w:rPr>
        <w:lastRenderedPageBreak/>
        <w:t>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lastRenderedPageBreak/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F3E0985" w14:textId="0371FC46" w:rsidR="00574382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79-08-24, </w:t>
            </w:r>
            <w:r w:rsidRPr="00574382">
              <w:rPr>
                <w:rFonts w:ascii="Times New Roman" w:hAnsi="Times New Roman"/>
                <w:sz w:val="28"/>
                <w:szCs w:val="28"/>
                <w:lang w:val="kk-KZ"/>
              </w:rPr>
              <w:t>(775) 511-07-41</w:t>
            </w:r>
          </w:p>
          <w:p w14:paraId="241A5C86" w14:textId="1D54621F" w:rsidR="00574382" w:rsidRPr="0007400B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61EB057C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003659">
        <w:rPr>
          <w:rFonts w:ascii="Times New Roman" w:hAnsi="Times New Roman"/>
          <w:sz w:val="28"/>
          <w:szCs w:val="28"/>
          <w:lang w:val="kk-KZ"/>
        </w:rPr>
        <w:t>Руководител</w:t>
      </w:r>
      <w:r w:rsidR="00574382">
        <w:rPr>
          <w:rFonts w:ascii="Times New Roman" w:hAnsi="Times New Roman"/>
          <w:sz w:val="28"/>
          <w:szCs w:val="28"/>
          <w:lang w:val="kk-KZ"/>
        </w:rPr>
        <w:t>я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5DA0">
        <w:rPr>
          <w:rFonts w:ascii="Times New Roman" w:hAnsi="Times New Roman"/>
          <w:sz w:val="28"/>
          <w:szCs w:val="28"/>
          <w:lang w:val="kk-KZ"/>
        </w:rPr>
        <w:t xml:space="preserve">ГУ </w:t>
      </w:r>
      <w:r w:rsidR="002C5DA0">
        <w:rPr>
          <w:rFonts w:ascii="Times New Roman" w:hAnsi="Times New Roman"/>
          <w:sz w:val="28"/>
          <w:szCs w:val="28"/>
        </w:rPr>
        <w:t>«Управление общественного развития Акимата Костанайской области»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2C5DA0">
        <w:rPr>
          <w:rFonts w:ascii="Times New Roman" w:hAnsi="Times New Roman"/>
          <w:bCs/>
          <w:sz w:val="28"/>
          <w:szCs w:val="28"/>
        </w:rPr>
        <w:t>08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>апреля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>54 о/д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2494CB7A" w:rsidR="00866378" w:rsidRPr="00003659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_Hlk96340032"/>
      <w:bookmarkEnd w:id="4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Костанайской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003659">
        <w:rPr>
          <w:rFonts w:ascii="Times New Roman" w:hAnsi="Times New Roman"/>
          <w:sz w:val="28"/>
          <w:szCs w:val="28"/>
          <w:lang w:val="kk-KZ"/>
        </w:rPr>
        <w:t>Акимата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Костанайской 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6" w:name="_Hlk96338446"/>
      <w:r w:rsidR="00F81D68" w:rsidRPr="00F81D68">
        <w:rPr>
          <w:rFonts w:ascii="Times New Roman" w:hAnsi="Times New Roman"/>
          <w:sz w:val="28"/>
          <w:szCs w:val="28"/>
        </w:rPr>
        <w:fldChar w:fldCharType="begin"/>
      </w:r>
      <w:r w:rsidR="00F81D68" w:rsidRPr="00F81D68">
        <w:rPr>
          <w:rFonts w:ascii="Times New Roman" w:hAnsi="Times New Roman"/>
          <w:sz w:val="28"/>
          <w:szCs w:val="28"/>
        </w:rPr>
        <w:instrText xml:space="preserve"> HYPERLINK "https://www.gov.kz/memleket/entities/kostanay/documents/3?lang=ru" </w:instrText>
      </w:r>
      <w:r w:rsidR="00F81D68" w:rsidRPr="00F81D68">
        <w:rPr>
          <w:rFonts w:ascii="Times New Roman" w:hAnsi="Times New Roman"/>
          <w:sz w:val="28"/>
          <w:szCs w:val="28"/>
        </w:rPr>
        <w:fldChar w:fldCharType="separate"/>
      </w:r>
      <w:r w:rsidR="00F81D68" w:rsidRPr="00F81D68">
        <w:rPr>
          <w:rFonts w:ascii="Times New Roman" w:hAnsi="Times New Roman"/>
          <w:sz w:val="28"/>
          <w:szCs w:val="28"/>
        </w:rPr>
        <w:t>https://www.gov.kz/memleket/entities/kostanay/documents/3?lang=ru</w:t>
      </w:r>
      <w:r w:rsidR="00F81D68" w:rsidRPr="00F81D68">
        <w:rPr>
          <w:rFonts w:ascii="Times New Roman" w:hAnsi="Times New Roman"/>
          <w:sz w:val="28"/>
          <w:szCs w:val="28"/>
        </w:rPr>
        <w:fldChar w:fldCharType="end"/>
      </w:r>
      <w:r w:rsidR="00F81D68">
        <w:t xml:space="preserve">  </w:t>
      </w:r>
    </w:p>
    <w:bookmarkEnd w:id="5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6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7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8" w:name="z994"/>
      <w:bookmarkEnd w:id="7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z995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z996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z997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z998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2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18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19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20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z821"/>
            <w:bookmarkEnd w:id="1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8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0" w:name="z834"/>
      <w:bookmarkEnd w:id="19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5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z836"/>
            <w:bookmarkEnd w:id="2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2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49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53"/>
            <w:bookmarkEnd w:id="2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2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72"/>
            <w:bookmarkEnd w:id="3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3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4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882"/>
      <w:bookmarkEnd w:id="36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883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38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z894"/>
      <w:bookmarkEnd w:id="39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895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1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902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3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912"/>
            <w:bookmarkEnd w:id="44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5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6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27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8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46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0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z953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2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4" w:name="z969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4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5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6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274F" w14:textId="77777777" w:rsidR="00B47FFC" w:rsidRDefault="00B47FFC" w:rsidP="00FB6300">
      <w:pPr>
        <w:spacing w:after="0" w:line="240" w:lineRule="auto"/>
      </w:pPr>
      <w:r>
        <w:separator/>
      </w:r>
    </w:p>
  </w:endnote>
  <w:endnote w:type="continuationSeparator" w:id="0">
    <w:p w14:paraId="048B5546" w14:textId="77777777" w:rsidR="00B47FFC" w:rsidRDefault="00B47FFC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31C5" w14:textId="77777777" w:rsidR="00B47FFC" w:rsidRDefault="00B47FFC" w:rsidP="00FB6300">
      <w:pPr>
        <w:spacing w:after="0" w:line="240" w:lineRule="auto"/>
      </w:pPr>
      <w:r>
        <w:separator/>
      </w:r>
    </w:p>
  </w:footnote>
  <w:footnote w:type="continuationSeparator" w:id="0">
    <w:p w14:paraId="228D57F6" w14:textId="77777777" w:rsidR="00B47FFC" w:rsidRDefault="00B47FFC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E0026"/>
    <w:rsid w:val="000E2923"/>
    <w:rsid w:val="000E64CA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62951"/>
    <w:rsid w:val="00C701F6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24098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2020-12-28T03:43:00Z</cp:lastPrinted>
  <dcterms:created xsi:type="dcterms:W3CDTF">2022-01-05T04:36:00Z</dcterms:created>
  <dcterms:modified xsi:type="dcterms:W3CDTF">2022-04-18T04:16:00Z</dcterms:modified>
</cp:coreProperties>
</file>